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90ea8665f05a4e4a"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193</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Asociaţia Grupul de Acţiune Locală (GAL) Valea Siretului de Sus</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VSS 6 - Cooperare pentru o viață mai bună</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Investiția /servicii/ investitii si servicii trebuie să demonstreze necesitatea, oportunitatea și potențialul economic al acesteia/ impactul in comunitate.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consideră ı̂ndeplinit dacă: activitățile propuse ı̂n proiectul de cooperare sunt corelate explicit cu unul sau mai multe obiective stabilite ı̂n SDL-ul GAL Valea Siretului de Sus. Această legătură trebuie evidențiată printr-o justi􀁕icare clară ı̂n cererea de 􀁕inanțare, unde se menționează contribuția fiecărei acțiuni la obiectivele specifice ale SDL.Totodata se consideră îndeplinit dacă: cererea de finanțare conține o analiză clară a contextului în care se înscrie proiectul de cooperare, evidențiind problemele sau nevoile identificate, beneficiile aduse de cooperare, justificarea alegerii partenerilor și perioada de implementare (calendarul activităților).</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Partener în proiectul de cooperare pot fi doar GAL-uri sau structuri similare – GAL urban sau FLAG.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consideră ı̂ndeplinit dacă: lista partenerilor incluși ı̂n proiectul de cooperare este alcătuită exclusiv din GAL-uri recunoscute oficial sau alte structuri similare (ex. FLAG). Se va anexa documentația care atestă statutul legal al Fiecărui partener sau ı̂n cazul GAL-urilor recunoscute la nivel european, verificarea se va face pe site-ul Rețelei Europene de Dezvoltare Rurală.</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p>
          <w:p>
            <w:pPr>
              <w:spacing w:line="360" w:lineRule="auto"/>
              <w:ind w:left="0" w:right="0" w:firstLine="493"/>
            </w:pPr>
            <w:r>
              <w:rPr>
                <w:rFonts w:ascii="Cambria Bold" w:hAnsi="Cambria Bold"/>
                <w:b/>
                <w:color w:val="014935"/>
                <w:sz w:val="24"/>
              </w:rPr>
              <w:t>Principiul complexității acțiunilor propuse.</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w:t>
            </w:r>
          </w:p>
        </w:tc>
        <w:tc>
          <w:tcPr>
            <w:shd w:val="clear" w:color="auto" w:fill="F8ECD2"/>
            <w:vAlign w:val="center"/>
          </w:tcPr>
          <w:p>
            <w:r>
              <w:rPr>
                <w:rFonts w:ascii="Cambria" w:hAnsi="Cambria"/>
                <w:b w:val="false"/>
                <w:color w:val="58400C"/>
                <w:sz w:val="24"/>
              </w:rPr>
              <w:t>Principiul complexității acțiunilor propuse.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pPr>
              <w:spacing w:line="360" w:lineRule="auto"/>
              <w:ind w:left="0" w:right="0" w:firstLine="493"/>
            </w:pPr>
            <w:r>
              <w:rPr>
                <w:rFonts w:ascii="Cambria" w:hAnsi="Cambria"/>
                <w:b w:val="false"/>
                <w:sz w:val="24"/>
              </w:rPr>
              <w:t>Se verifică în Cererea de finanțare tipul de proiect selectat de către solicitant, descrierea activităților din proiect. </w:t>
            </w:r>
          </w:p>
          <w:p>
            <w:pPr>
              <w:spacing w:line="360" w:lineRule="auto"/>
              <w:ind w:left="0" w:right="0" w:firstLine="493"/>
            </w:pPr>
            <w:r>
              <w:rPr>
                <w:rFonts w:ascii="Cambria" w:hAnsi="Cambria"/>
                <w:b w:val="false"/>
                <w:sz w:val="24"/>
              </w:rPr>
              <w:t>Proiectul include  </w:t>
            </w:r>
            <w:r>
              <w:rPr>
                <w:rFonts w:ascii="Cambria" w:hAnsi="Cambria"/>
                <w:b w:val="false"/>
                <w:sz w:val="24"/>
              </w:rPr>
              <w:t>mai multe tipuri de intervenții</w:t>
            </w:r>
            <w:r>
              <w:rPr>
                <w:rFonts w:ascii="Cambria" w:hAnsi="Cambria"/>
                <w:b w:val="false"/>
                <w:sz w:val="24"/>
              </w:rPr>
              <w:t>  (ex: formare, cercetare, pilotare, diseminare, investiții soft/hard).</w:t>
            </w:r>
          </w:p>
          <w:p>
            <w:pPr>
              <w:spacing w:line="360" w:lineRule="auto"/>
              <w:ind w:left="0" w:right="0" w:firstLine="493"/>
            </w:pPr>
            <w:r>
              <w:rPr>
                <w:rFonts w:ascii="Cambria" w:hAnsi="Cambria"/>
                <w:b w:val="false"/>
                <w:sz w:val="24"/>
              </w:rPr>
              <w:t>Proiectul combină  </w:t>
            </w:r>
            <w:r>
              <w:rPr>
                <w:rFonts w:ascii="Cambria" w:hAnsi="Cambria"/>
                <w:b w:val="false"/>
                <w:sz w:val="24"/>
              </w:rPr>
              <w:t>domenii diferite.</w:t>
            </w:r>
          </w:p>
          <w:p>
            <w:pPr>
              <w:pStyle w:val="ListParagraph"/>
              <w:numPr>
                <w:ilvl w:val="0"/>
                <w:numId w:val="2"/>
              </w:numPr>
            </w:pPr>
            <w:r>
              <w:rPr>
                <w:rFonts w:ascii="Cambria" w:hAnsi="Cambria"/>
                <w:b w:val="false"/>
                <w:sz w:val="24"/>
              </w:rPr>
              <w:t>ex: educație + digital + mediu + antreprenoriat</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p>
          <w:p>
            <w:pPr>
              <w:spacing w:line="360" w:lineRule="auto"/>
              <w:ind w:left="0" w:right="0" w:firstLine="493"/>
            </w:pPr>
            <w:r>
              <w:rPr>
                <w:rFonts w:ascii="Cambria Bold" w:hAnsi="Cambria Bold"/>
                <w:b/>
                <w:color w:val="014935"/>
                <w:sz w:val="24"/>
              </w:rPr>
              <w:t>Proiectul cuprinde obiectivele și valorile comune ale tuturor partenerilor implicați în cooperare.</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w:t>
            </w:r>
          </w:p>
        </w:tc>
        <w:tc>
          <w:tcPr>
            <w:shd w:val="clear" w:color="auto" w:fill="F8ECD2"/>
            <w:vAlign w:val="center"/>
          </w:tcPr>
          <w:p>
            <w:r>
              <w:rPr>
                <w:rFonts w:ascii="Cambria" w:hAnsi="Cambria"/>
                <w:b w:val="false"/>
                <w:color w:val="58400C"/>
                <w:sz w:val="24"/>
              </w:rPr>
              <w:t>Proiectul cuprinde obiectivele și valorile comune ale tuturor partenerilor implicați în cooperare.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pPr>
              <w:spacing w:line="360" w:lineRule="auto"/>
              <w:ind w:left="0" w:right="0" w:firstLine="493"/>
            </w:pPr>
            <w:r>
              <w:rPr>
                <w:rFonts w:ascii="Cambria" w:hAnsi="Cambria"/>
                <w:b w:val="false"/>
                <w:sz w:val="24"/>
              </w:rPr>
              <w:t>Se verifică în Cererea de finanțare tipul de proiect selectat de către solicitant, descrierea activităților din proiect. </w:t>
            </w:r>
          </w:p>
          <w:p>
            <w:r>
              <w:rPr>
                <w:rFonts w:ascii="Cambria" w:hAnsi="Cambria"/>
                <w:b w:val="false"/>
                <w:sz w:val="24"/>
              </w:rPr>
              <w:t>Sunt definite  </w:t>
            </w:r>
            <w:r>
              <w:rPr>
                <w:rFonts w:ascii="Cambria" w:hAnsi="Cambria"/>
                <w:b w:val="false"/>
                <w:sz w:val="24"/>
              </w:rPr>
              <w:t>obiective generale comune</w:t>
            </w:r>
            <w:r>
              <w:rPr>
                <w:rFonts w:ascii="Cambria" w:hAnsi="Cambria"/>
                <w:b w:val="false"/>
                <w:sz w:val="24"/>
              </w:rPr>
              <w:t>  pentru întregul parteneriat.</w:t>
            </w:r>
          </w:p>
          <w:p>
            <w:r>
              <w:rPr>
                <w:rFonts w:ascii="Cambria" w:hAnsi="Cambria"/>
                <w:b w:val="false"/>
                <w:sz w:val="24"/>
              </w:rPr>
              <w:t>Obiectivele sunt:</w:t>
            </w:r>
          </w:p>
          <w:p>
            <w:pPr>
              <w:pStyle w:val="ListParagraph"/>
              <w:numPr>
                <w:ilvl w:val="0"/>
                <w:numId w:val="2"/>
              </w:numPr>
            </w:pPr>
            <w:r>
              <w:rPr>
                <w:rFonts w:ascii="Cambria" w:hAnsi="Cambria"/>
                <w:b w:val="false"/>
                <w:sz w:val="24"/>
              </w:rPr>
              <w:t>formulate unitar (nu separat pe parteneri)</w:t>
            </w:r>
          </w:p>
          <w:p>
            <w:pPr>
              <w:pStyle w:val="ListParagraph"/>
              <w:numPr>
                <w:ilvl w:val="0"/>
                <w:numId w:val="2"/>
              </w:numPr>
            </w:pPr>
            <w:r>
              <w:rPr>
                <w:rFonts w:ascii="Cambria" w:hAnsi="Cambria"/>
                <w:b w:val="false"/>
                <w:sz w:val="24"/>
              </w:rPr>
              <w:t>relevante pentru toți partenerii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p>
          <w:p>
            <w:pPr>
              <w:spacing w:line="360" w:lineRule="auto"/>
              <w:ind w:left="0" w:right="0" w:firstLine="493"/>
            </w:pPr>
            <w:r>
              <w:rPr>
                <w:rFonts w:ascii="Cambria Bold" w:hAnsi="Cambria Bold"/>
                <w:b/>
                <w:color w:val="014935"/>
                <w:sz w:val="24"/>
              </w:rPr>
              <w:t>Proiectul încurajează proiecte inovatoare și creative care abordează problemele locale în mod inedit.</w:t>
            </w:r>
          </w:p>
        </w:tc>
        <w:tc>
          <w:tcPr>
            <w:shd w:val="clear" w:color="auto" w:fill="CCE1DB"/>
            <w:vAlign w:val="center"/>
          </w:tcPr>
          <w:p>
            <w:pPr>
              <w:spacing w:line="360" w:lineRule="auto"/>
              <w:ind w:left="0" w:right="0" w:firstLine="493"/>
            </w:pPr>
            <w:r>
              <w:rPr>
                <w:rFonts w:ascii="Cambria Bold" w:hAnsi="Cambria Bold"/>
                <w:b/>
                <w:color w:val="014935"/>
                <w:sz w:val="24"/>
              </w:rPr>
              <w:t>40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w:t>
            </w:r>
          </w:p>
        </w:tc>
        <w:tc>
          <w:tcPr>
            <w:shd w:val="clear" w:color="auto" w:fill="F8ECD2"/>
            <w:vAlign w:val="center"/>
          </w:tcPr>
          <w:p>
            <w:r>
              <w:rPr>
                <w:rFonts w:ascii="Cambria" w:hAnsi="Cambria"/>
                <w:b w:val="false"/>
                <w:color w:val="58400C"/>
                <w:sz w:val="24"/>
              </w:rPr>
              <w:t>Proiectul încurajează proiecte inovatoare și creative care abordează problemele locale în mod inedit.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pPr>
              <w:spacing w:line="360" w:lineRule="auto"/>
              <w:ind w:left="0" w:right="0" w:firstLine="493"/>
            </w:pPr>
            <w:r>
              <w:rPr>
                <w:rFonts w:ascii="Cambria" w:hAnsi="Cambria"/>
                <w:b w:val="false"/>
                <w:sz w:val="24"/>
              </w:rPr>
              <w:t>Se verifică în Cererea de finanțare tipul de proiect selectat de către solicitant, descrierea activităților din proiect. </w:t>
            </w:r>
          </w:p>
          <w:p>
            <w:pPr>
              <w:pStyle w:val="ListParagraph"/>
              <w:numPr>
                <w:ilvl w:val="0"/>
                <w:numId w:val="2"/>
              </w:numPr>
            </w:pPr>
            <w:r>
              <w:rPr>
                <w:rFonts w:ascii="Cambria" w:hAnsi="Cambria"/>
                <w:b w:val="false"/>
                <w:sz w:val="24"/>
              </w:rPr>
              <w:t>Proiectul propune:</w:t>
            </w:r>
          </w:p>
          <w:p>
            <w:pPr>
              <w:pStyle w:val="ListParagraph"/>
              <w:numPr>
                <w:ilvl w:val="1"/>
                <w:numId w:val="2"/>
              </w:numPr>
            </w:pPr>
            <w:r>
              <w:rPr>
                <w:rFonts w:ascii="Cambria" w:hAnsi="Cambria"/>
                <w:b w:val="false"/>
                <w:sz w:val="24"/>
              </w:rPr>
              <w:t>idei noi la nivel local/regional</w:t>
            </w:r>
          </w:p>
          <w:p>
            <w:pPr>
              <w:pStyle w:val="ListParagraph"/>
              <w:numPr>
                <w:ilvl w:val="1"/>
                <w:numId w:val="2"/>
              </w:numPr>
            </w:pPr>
            <w:r>
              <w:rPr>
                <w:rFonts w:ascii="Cambria" w:hAnsi="Cambria"/>
                <w:b w:val="false"/>
                <w:sz w:val="24"/>
              </w:rPr>
              <w:t>metode sau instrumente neutilizate anterior în zona vizată</w:t>
            </w:r>
          </w:p>
          <w:p>
            <w:pPr>
              <w:pStyle w:val="ListParagraph"/>
              <w:numPr>
                <w:ilvl w:val="1"/>
                <w:numId w:val="2"/>
              </w:numPr>
            </w:pPr>
            <w:r>
              <w:rPr>
                <w:rFonts w:ascii="Cambria" w:hAnsi="Cambria"/>
                <w:b w:val="false"/>
                <w:sz w:val="24"/>
              </w:rPr>
              <w:t>Activitățile sunt:</w:t>
            </w:r>
          </w:p>
          <w:p>
            <w:pPr>
              <w:pStyle w:val="ListParagraph"/>
              <w:numPr>
                <w:ilvl w:val="2"/>
                <w:numId w:val="2"/>
              </w:numPr>
            </w:pPr>
            <w:r>
              <w:rPr>
                <w:rFonts w:ascii="Cambria" w:hAnsi="Cambria"/>
                <w:b w:val="false"/>
                <w:sz w:val="24"/>
              </w:rPr>
              <w:t>originale</w:t>
            </w:r>
          </w:p>
          <w:p>
            <w:pPr>
              <w:pStyle w:val="ListParagraph"/>
              <w:numPr>
                <w:ilvl w:val="2"/>
                <w:numId w:val="2"/>
              </w:numPr>
            </w:pPr>
            <w:r>
              <w:rPr>
                <w:rFonts w:ascii="Cambria" w:hAnsi="Cambria"/>
                <w:b w:val="false"/>
                <w:sz w:val="24"/>
              </w:rPr>
              <w:t>adaptate contextului local</w:t>
            </w:r>
          </w:p>
          <w:p>
            <w:pPr>
              <w:pStyle w:val="ListParagraph"/>
              <w:numPr>
                <w:ilvl w:val="1"/>
                <w:numId w:val="2"/>
              </w:numPr>
            </w:pPr>
            <w:r>
              <w:rPr>
                <w:rFonts w:ascii="Cambria" w:hAnsi="Cambria"/>
                <w:b w:val="false"/>
                <w:sz w:val="24"/>
              </w:rPr>
              <w:t>Se folosesc:</w:t>
            </w:r>
          </w:p>
          <w:p>
            <w:pPr>
              <w:pStyle w:val="ListParagraph"/>
              <w:numPr>
                <w:ilvl w:val="2"/>
                <w:numId w:val="2"/>
              </w:numPr>
            </w:pPr>
            <w:r>
              <w:rPr>
                <w:rFonts w:ascii="Cambria" w:hAnsi="Cambria"/>
                <w:b w:val="false"/>
                <w:sz w:val="24"/>
              </w:rPr>
              <w:t>metode interactive (gamificare, design thinking, co-creare)</w:t>
            </w:r>
          </w:p>
          <w:p>
            <w:pPr>
              <w:pStyle w:val="ListParagraph"/>
              <w:numPr>
                <w:ilvl w:val="2"/>
                <w:numId w:val="2"/>
              </w:numPr>
            </w:pPr>
            <w:r>
              <w:rPr>
                <w:rFonts w:ascii="Cambria" w:hAnsi="Cambria"/>
                <w:b w:val="false"/>
                <w:sz w:val="24"/>
              </w:rPr>
              <w:t>formate neconvențional</w:t>
            </w:r>
          </w:p>
          <w:p>
            <w:pPr>
              <w:pStyle w:val="ListParagraph"/>
              <w:numPr>
                <w:ilvl w:val="1"/>
                <w:numId w:val="3"/>
              </w:numPr>
            </w:pPr>
            <w:r>
              <w:rPr>
                <w:rFonts w:ascii="Cambria" w:hAnsi="Cambria"/>
                <w:b w:val="false"/>
                <w:sz w:val="24"/>
              </w:rPr>
              <w:t>Pragul minim de selectie al proiectelor este de 30 de puncte.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1 </w:t>
            </w:r>
          </w:p>
        </w:tc>
        <w:tc>
          <w:tcPr>
            <w:shd w:val="clear" w:color="auto" w:fill="F8ECD2"/>
            <w:vAlign w:val="center"/>
          </w:tcPr>
          <w:p>
            <w:r>
              <w:rPr>
                <w:rFonts w:ascii="Cambria" w:hAnsi="Cambria"/>
                <w:b w:val="false"/>
                <w:color w:val="58400C"/>
                <w:sz w:val="24"/>
              </w:rPr>
              <w:t>Tipul cooperării (seprioritizează proiecteletransnaționale)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Se va acorda prioritate proiectelor care presupun cooperaretransnațională, adică implicarea cel puțin a unui partener eligibil dintr-un alt stat membru UE.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2 </w:t>
            </w:r>
          </w:p>
        </w:tc>
        <w:tc>
          <w:tcPr>
            <w:shd w:val="clear" w:color="auto" w:fill="F8ECD2"/>
            <w:vAlign w:val="center"/>
          </w:tcPr>
          <w:p>
            <w:r>
              <w:rPr>
                <w:rFonts w:ascii="Cambria" w:hAnsi="Cambria"/>
                <w:b w:val="false"/>
                <w:color w:val="58400C"/>
                <w:sz w:val="24"/>
              </w:rPr>
              <w:t>Numărul de parteneri implicați în proiect.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Se va selecta proiectul care implică un număr mai mare de parteneri eligibili (GAL-uri rurale, GAL-uri urbane, FLAG-uri sau structuri similare).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 w:numId="3">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3fc509492bbf462b" /><Relationship Type="http://schemas.openxmlformats.org/officeDocument/2006/relationships/numbering" Target="/word/numbering.xml" Id="R2bb070eac5624407" /></Relationships>
</file>