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6e438cb9888848a2"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5 - Păstrarea identității locale pe Valea Siretului</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Tematica activităților finanțate să respecte specificul folcloric tradițional local.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va verifica descrierea activităților culturale în Cererea de finanțare și Memoriul justificativ/Studiul de fezabilitate/DALI, precum și alte documente anexă, dacă este cazul. Se verifică dacă activitățile descrise în cererea de finanțare și anexele tehnice: - includ elemente clar definite de patrimoniu cultural tradițional local;- sunt în concordanță cu specificul zonei geografice în care se implementează proiectul.Se verifică coerența teritorială: tematica activităților se corelează cu localizarea proiectului (comună, județ, regiune).Documente obligatorii:- Cererea de finanțare;- Memoriul justificativ/Studiul de fezabilitate/DALI;- Alte documente relevante care susțin acest criteriu: fotografii, înregistrări, publicații, monografii locale etc.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să se angajeze că va asigura mentenanța investiției pe o perioadă de minim 3 ani (5 ani pentru proiectele care prevad Constructii+Montaj) de la data ultimei plaţi.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are obligația de a se angaja în mod ferm că va asiguraîntreținerea și mentenanța investiției realizate prin proiect, pe operioadă de minimum 5 ani, începând de la data finalizării ultimei cereride plată.Calculul termenului se face de la data plății finale a ajutorului financiarnerambursabil (ultima cerere de plată aprobată). Angajamentul se vaexprima în cadrul HCL/HAGA, anexată cererii de finanțare;Nerespectarea acestei obligații poate conduce la recuperarea totală sauparțială a sprijinului financiar acordat.Calculul termenului se face de la data plății finale a ajutorului financiarnerambursabil (ultima cerere de plată aprobată).Angajamentul se va exprima în cadrul HCL/HAGA, anexată cererii definanțare;Nerespectarea acestei obligații poate conduce la recuperarea totală sauparțială a sprijinului financiar acordat.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proiectului trebuie să se încadreze în categoria beneficiariloreligibili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Documentele de înființare ale beneficiarului.</w:t>
            </w:r>
            <w:r>
              <w:rPr>
                <w:rFonts w:ascii="Cambria Bold" w:hAnsi="Cambria Bold"/>
                <w:b/>
                <w:sz w:val="24"/>
              </w:rPr>
              <w:t>Metodologia</w:t>
            </w:r>
            <w:r>
              <w:rPr>
                <w:rFonts w:ascii="Cambria" w:hAnsi="Cambria"/>
                <w:b w:val="false"/>
                <w:sz w:val="24"/>
              </w:rPr>
              <w:t>: Expertul va verifica Document care atestă forma de organizare a solicitantului:- C.I.F,- Actul de înfiinţare şi statutul ADI,-  Încheiere privind înscrierea în RegistrulAsociațiilor și Fundațiilor, rămasădefinitivă/Certificat de înregistrare înRegistrul Asociațiilor și Fundațiilor;- Actul de înfiinţare şi statutul ONG;- Actul de înfiinţare şi/sau statutulașezământului monahal (unitate de cult);</w:t>
            </w:r>
            <w:r>
              <w:rPr>
                <w:rFonts w:ascii="Cambria Bold" w:hAnsi="Cambria Bold"/>
                <w:b/>
                <w:sz w:val="24"/>
              </w:rPr>
              <w:t>Conditiile in care se considera indeplinit criteriul:</w:t>
            </w:r>
            <w:r>
              <w:rPr>
                <w:rFonts w:ascii="Cambria" w:hAnsi="Cambria"/>
                <w:b w:val="false"/>
                <w:sz w:val="24"/>
              </w:rPr>
              <w:t> Dacă verificarea documentelor confirmă faptul că solicitantul se incadrează în categoria beneficiarilor eligibili se va bifa caseta “da” pentru verificare. În caz contrar, angajatul GAL (expertul cooptat dupa caz) bifează casuţa din coloana NU şi motivează poziţia în rubrica „Observaţii”, criteriul deeligibilitate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nu trebuie să fie în insolvență, în conformitate cu legislația în viguare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Buletinul procedurilor de insolvență</w:t>
            </w:r>
            <w:r>
              <w:rPr>
                <w:rFonts w:ascii="Cambria Bold" w:hAnsi="Cambria Bold"/>
                <w:b/>
                <w:sz w:val="24"/>
              </w:rPr>
              <w:t>Metodologia</w:t>
            </w:r>
            <w:r>
              <w:rPr>
                <w:rFonts w:ascii="Cambria" w:hAnsi="Cambria"/>
                <w:b w:val="false"/>
                <w:sz w:val="24"/>
              </w:rPr>
              <w:t>: Expertul va verifica în Buletinul procedurilor deinsolvență publicat pe site-ul Ministerului Justiției, dacă solicitantul este în situația deschiderii procedurii de insolvență.</w:t>
            </w:r>
            <w:r>
              <w:rPr>
                <w:rFonts w:ascii="Cambria Bold" w:hAnsi="Cambria Bold"/>
                <w:b/>
                <w:sz w:val="24"/>
              </w:rPr>
              <w:t>Conditiile in care se considera indeplinit criteriul:</w:t>
            </w:r>
            <w:r>
              <w:rPr>
                <w:rFonts w:ascii="Cambria" w:hAnsi="Cambria"/>
                <w:b w:val="false"/>
                <w:sz w:val="24"/>
              </w:rPr>
              <w:t> Dacă verificarea documentelor confirmă faptul că solicitantul nu este în insolvență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Investiția să se încadreze în cel puțin unul din tipurile de sprijin prevăzute prin măsură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SF/DALI/PT/MJ/CF; Fişa intervenţiei L810,</w:t>
            </w:r>
            <w:r>
              <w:rPr>
                <w:rFonts w:ascii="Cambria Bold" w:hAnsi="Cambria Bold"/>
                <w:b/>
                <w:sz w:val="24"/>
              </w:rPr>
              <w:t>Metodologia: </w:t>
            </w:r>
            <w:r>
              <w:rPr>
                <w:rFonts w:ascii="Cambria" w:hAnsi="Cambria"/>
                <w:b w:val="false"/>
                <w:sz w:val="24"/>
              </w:rPr>
              <w:t>Angajatul GAL (expertul cooptat dupa caz) verifică în baza informaţiilor din documentele de mai sus, dacă investiția descrisă se încadreaza în cel putin unul din tipurile de sprijin prevăzute prin măsură.</w:t>
            </w:r>
            <w:r>
              <w:rPr>
                <w:rFonts w:ascii="Cambria Bold" w:hAnsi="Cambria Bold"/>
                <w:b/>
                <w:sz w:val="24"/>
              </w:rPr>
              <w:t>Conditiile in care se considera indeplinit criteriul:</w:t>
            </w:r>
            <w:r>
              <w:rPr>
                <w:rFonts w:ascii="Cambria" w:hAnsi="Cambria"/>
                <w:b w:val="false"/>
                <w:sz w:val="24"/>
              </w:rPr>
              <w:t> Dacă verificarea documentelor confirmă faptul că investiția se încadrează în cel puțin unul din tipurile de sprijin prevăzute prin măsură se va bifa caseta“da”pentru verificare. În caz contrar, angajatul GAL (expertul cooptat dupa caz)bifează casuţa din coloana NU şi motivează poziţia înrubrica„Observaţii”,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trebuie să fie în corelare cu orice strategie de dezvoltare națională/regională/județeană/localăaprobată, corespunzătoaredomeniului de intervenție.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 </w:t>
            </w:r>
            <w:r>
              <w:rPr>
                <w:rFonts w:ascii="Cambria" w:hAnsi="Cambria"/>
                <w:b w:val="false"/>
                <w:sz w:val="24"/>
              </w:rPr>
              <w:t>SF/DALI/PT/MJ/CF; Fişa intervenţiei L810;Cap.6. Obiectivele strategiei, logica intervențiilor și a complementarității și/sau contribuției la obiectivele altor strategii relevante din SDL-GAL;Extrasul din strategia cu care este corelată investiția(anexata la CF conform sectiunea E.1din CF- Alte documente justificative (după caz).</w:t>
            </w:r>
            <w:r>
              <w:rPr>
                <w:rFonts w:ascii="Cambria Bold" w:hAnsi="Cambria Bold"/>
                <w:b/>
                <w:sz w:val="24"/>
              </w:rPr>
              <w:t>Metodologia:</w:t>
            </w:r>
            <w:r>
              <w:rPr>
                <w:rFonts w:ascii="Cambria" w:hAnsi="Cambria"/>
                <w:b w:val="false"/>
                <w:sz w:val="24"/>
              </w:rPr>
              <w:t> Angajatul GAL (expertul cooptat dupa caz) verifică în baza informaţiilor din documentele de mai sus, dacă investiția este în corelare cu orice strategie de dezvoltarenaţională/regională/județeană/localăaprobată, corespunzătoare domeniului de investiţii.</w:t>
            </w:r>
            <w:r>
              <w:rPr>
                <w:rFonts w:ascii="Cambria Bold" w:hAnsi="Cambria Bold"/>
                <w:b/>
                <w:sz w:val="24"/>
              </w:rPr>
              <w:t>Conditiile in care se considera indeplinit criteriul</w:t>
            </w:r>
            <w:r>
              <w:rPr>
                <w:rFonts w:ascii="Cambria" w:hAnsi="Cambria"/>
                <w:b w:val="false"/>
                <w:sz w:val="24"/>
              </w:rPr>
              <w:t>: Dacă verificarea documentelor confirmă faptul că investiția este în corelare cu orice strategie de dezvoltare naţională/regională/județeană/locală aprobată, corespunzătoare domeniului de investiţii, se va bifa caseta“da”pentru verificare. În caz contrar, angajatul GAL (expertul cooptat dupa caz) 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Investiția să se realizeze înteritoriul acoperit de GAL Valea Siretului de Sus.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considerată eligibilă, investiția propusă trebuie să fie realizată integral în teritoriul acoperit de GAL Valea Siretului de Sus.Aceasta presupune că:- Sediul social și amplasamentul fizic al investiției (terenul, clădirile, infrastructura, utilitățile etc.) trebuie să se situeze în limitele administrative ale unităților teritoriale componente ale GAL ValeaSiretului de Sus;- Activitățile derulate în cadrul proiectului trebuie să aibă impactdirect și exclusiv asupra comunităților din acest teritoriu;- Solicitantul trebuie să prezinte documente justificative care atestă locația exactă a investiției (ex.: extras de carte funciară, certificat de urbanism, plan de situație);Nerespectarea acestei condiții va conduce la declararea proiectului ca neeligibil.Documente de verificat:- Certificatul de inregistrare fiscala si/sau documentele de infiintare (Statut, act constitutiv, etc.)</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Investiția vizează proiectele cu impact micro-regional sau integrate.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pPr>
              <w:spacing w:line="360" w:lineRule="auto"/>
              <w:ind w:left="0" w:right="0" w:firstLine="493"/>
            </w:pPr>
            <w:r>
              <w:rPr>
                <w:rFonts w:ascii="Cambria" w:hAnsi="Cambria"/>
                <w:b w:val="false"/>
                <w:color w:val="58400C"/>
                <w:sz w:val="24"/>
              </w:rPr>
              <w:t>Investiția propusă implică mai multe tipuri de activități complementare care contribuie împreună la păstrarea identității locale (ex: reabilitarea unui monument + organizarea de ateliere tradiționale + promovare turistică);</w:t>
            </w:r>
          </w:p>
          <w:p>
            <w:pPr>
              <w:spacing w:line="360" w:lineRule="auto"/>
              <w:ind w:left="0" w:right="0" w:firstLine="493"/>
            </w:pPr>
            <w:r>
              <w:rPr>
                <w:rFonts w:ascii="Cambria" w:hAnsi="Cambria"/>
                <w:b w:val="false"/>
                <w:color w:val="58400C"/>
                <w:sz w:val="24"/>
              </w:rPr>
              <w:t>Abordează problema/tematica identității locale în mod holistic (nu doar restaurare fizică, ci și transmiterea valorilor către generațiile viitoare, educație culturală etc.).</w:t>
            </w:r>
          </w:p>
          <w:p>
            <w:pPr>
              <w:spacing w:line="360" w:lineRule="auto"/>
              <w:ind w:left="0" w:right="0" w:firstLine="493"/>
            </w:pPr>
            <w:r>
              <w:rPr>
                <w:rFonts w:ascii="Cambria" w:hAnsi="Cambria"/>
                <w:b w:val="false"/>
                <w:color w:val="58400C"/>
                <w:sz w:val="24"/>
              </w:rPr>
              <w:t>Implică mai mulți actori (instituții publice, asociații culturale, școli, parohii, centre de tineret etc.)</w:t>
            </w:r>
          </w:p>
          <w:p>
            <w:r>
              <w:rPr>
                <w:rFonts w:ascii="Cambria" w:hAnsi="Cambria"/>
                <w:b w:val="false"/>
                <w:color w:val="58400C"/>
                <w:sz w:val="24"/>
              </w:rPr>
              <w:t>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Pentru a acorda punctaj pentru subcriteriul „Investiția propusă implică mai multe tipuri de activități complementare [...]”, evaluatorii vor analiza următoarele aspecte:</w:t>
            </w:r>
          </w:p>
          <w:p>
            <w:pPr>
              <w:spacing w:line="360" w:lineRule="auto"/>
              <w:ind w:left="0" w:right="0" w:firstLine="493"/>
            </w:pPr>
            <w:r>
              <w:rPr>
                <w:rFonts w:ascii="Cambria" w:hAnsi="Cambria"/>
                <w:b w:val="false"/>
                <w:sz w:val="24"/>
              </w:rPr>
              <w:t>1. Diversitatea și complementaritatea activităților propuse</w:t>
            </w:r>
          </w:p>
          <w:p>
            <w:pPr>
              <w:pStyle w:val="ListParagraph"/>
              <w:numPr>
                <w:ilvl w:val="0"/>
                <w:numId w:val="2"/>
              </w:numPr>
              <w:spacing w:line="360" w:lineRule="auto"/>
              <w:ind w:left="0" w:right="0" w:firstLine="493"/>
            </w:pPr>
            <w:r>
              <w:rPr>
                <w:rFonts w:ascii="Cambria" w:hAnsi="Cambria"/>
                <w:b w:val="false"/>
                <w:sz w:val="24"/>
              </w:rPr>
              <w:t>Se verifică dacă proiectul include cel puțin două tipuri de activități distincte care se sprijină reciproc și contribuie în mod coerent la obiectivul general (ex: investiții + acțiuni educaționale/culturale + promovare).</w:t>
            </w:r>
          </w:p>
          <w:p>
            <w:pPr>
              <w:pStyle w:val="ListParagraph"/>
              <w:numPr>
                <w:ilvl w:val="0"/>
                <w:numId w:val="2"/>
              </w:numPr>
              <w:spacing w:line="360" w:lineRule="auto"/>
              <w:ind w:left="0" w:right="0" w:firstLine="493"/>
            </w:pPr>
            <w:r>
              <w:rPr>
                <w:rFonts w:ascii="Cambria" w:hAnsi="Cambria"/>
                <w:b w:val="false"/>
                <w:sz w:val="24"/>
              </w:rPr>
              <w:t>Proiectul trebuie să demonstreze că este realizat  </w:t>
            </w:r>
            <w:r>
              <w:rPr>
                <w:rFonts w:ascii="Cambria" w:hAnsi="Cambria"/>
                <w:b w:val="false"/>
                <w:sz w:val="24"/>
              </w:rPr>
              <w:t>în parteneriat sau cu sprijinul</w:t>
            </w:r>
            <w:r>
              <w:rPr>
                <w:rFonts w:ascii="Cambria" w:hAnsi="Cambria"/>
                <w:b w:val="false"/>
                <w:sz w:val="24"/>
              </w:rPr>
              <w:t>  mai multor entități locale relevante (ex: UAT-uri, ONG-uri, instituții educaționale, parohii, centre culturale sau de tineret).</w:t>
            </w:r>
          </w:p>
          <w:p>
            <w:pPr>
              <w:pStyle w:val="ListParagraph"/>
              <w:numPr>
                <w:ilvl w:val="0"/>
                <w:numId w:val="2"/>
              </w:numPr>
              <w:spacing w:line="360" w:lineRule="auto"/>
              <w:ind w:left="0" w:right="0" w:firstLine="493"/>
            </w:pPr>
            <w:r>
              <w:rPr>
                <w:rFonts w:ascii="Cambria" w:hAnsi="Cambria"/>
                <w:b w:val="false"/>
                <w:sz w:val="24"/>
              </w:rPr>
              <w:t>2. Proiectul demonstreaza  </w:t>
            </w:r>
            <w:r>
              <w:rPr>
                <w:rFonts w:ascii="Cambria" w:hAnsi="Cambria"/>
                <w:b w:val="false"/>
                <w:sz w:val="24"/>
              </w:rPr>
              <w:t>conștientizarea valorii identitare</w:t>
            </w:r>
            <w:r>
              <w:rPr>
                <w:rFonts w:ascii="Cambria" w:hAnsi="Cambria"/>
                <w:b w:val="false"/>
                <w:sz w:val="24"/>
              </w:rPr>
              <w:t>  a investiției și include măsuri pentru valorificare pe termen lung.</w:t>
            </w:r>
          </w:p>
          <w:p>
            <w:pPr>
              <w:pStyle w:val="ListParagraph"/>
              <w:numPr>
                <w:ilvl w:val="0"/>
                <w:numId w:val="2"/>
              </w:numPr>
            </w:pPr>
            <w:r>
              <w:rPr>
                <w:rFonts w:ascii="Cambria" w:hAnsi="Cambria"/>
                <w:b w:val="false"/>
                <w:sz w:val="24"/>
              </w:rPr>
              <w:t>3. Implicarea mai multor actori relevanți:</w:t>
            </w:r>
          </w:p>
          <w:p>
            <w:pPr>
              <w:pStyle w:val="ListParagraph"/>
              <w:numPr>
                <w:ilvl w:val="0"/>
                <w:numId w:val="2"/>
              </w:numPr>
              <w:spacing w:line="360" w:lineRule="auto"/>
              <w:ind w:left="0" w:right="0" w:firstLine="493"/>
            </w:pPr>
            <w:r>
              <w:rPr>
                <w:rFonts w:ascii="Cambria" w:hAnsi="Cambria"/>
                <w:b w:val="false"/>
                <w:sz w:val="24"/>
              </w:rPr>
              <w:t>Proiectul trebuie să demonstreze că este realizat  </w:t>
            </w:r>
            <w:r>
              <w:rPr>
                <w:rFonts w:ascii="Cambria" w:hAnsi="Cambria"/>
                <w:b w:val="false"/>
                <w:sz w:val="24"/>
              </w:rPr>
              <w:t>în parteneriat sau cu sprijinul</w:t>
            </w:r>
            <w:r>
              <w:rPr>
                <w:rFonts w:ascii="Cambria" w:hAnsi="Cambria"/>
                <w:b w:val="false"/>
                <w:sz w:val="24"/>
              </w:rPr>
              <w:t>  mai multor entități locale relevante (ex: UAT-uri, ONG-uri, instituții educaționale, parohii, centre culturale sau de tineret).</w:t>
            </w:r>
          </w:p>
          <w:p>
            <w:pPr>
              <w:pStyle w:val="ListParagraph"/>
              <w:numPr>
                <w:ilvl w:val="0"/>
                <w:numId w:val="2"/>
              </w:numPr>
              <w:spacing w:line="360" w:lineRule="auto"/>
              <w:ind w:left="0" w:right="0" w:firstLine="493"/>
            </w:pPr>
            <w:r>
              <w:rPr>
                <w:rFonts w:ascii="Cambria" w:hAnsi="Cambria"/>
                <w:b w:val="false"/>
                <w:sz w:val="24"/>
              </w:rPr>
              <w:t>Nu este necesară constituirea unui parteneriat formal în toate cazurile, dar implicarea trebuie să fie  </w:t>
            </w:r>
            <w:r>
              <w:rPr>
                <w:rFonts w:ascii="Cambria" w:hAnsi="Cambria"/>
                <w:b w:val="false"/>
                <w:sz w:val="24"/>
              </w:rPr>
              <w:t>dovedită prin documente justificative</w:t>
            </w:r>
            <w:r>
              <w:rPr>
                <w:rFonts w:ascii="Cambria" w:hAnsi="Cambria"/>
                <w:b w:val="false"/>
                <w:sz w:val="24"/>
              </w:rPr>
              <w:t>  (scrisori de sprijin, acorduri de colaborare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Solicitanții care nu au primit anterior depunerii cererii de finanțare, sprijin comunitar pentru o investiție similar.</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Solicitanții care nu au primit, anterior depunerii cererii de finanțare, sprijin comunitar pentru o investiție similara.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existența unei declarații semnate de solicitant privind lipsa sprijinului comunitar anterior pentru o investiție similară.</w:t>
            </w:r>
          </w:p>
          <w:p>
            <w:pPr>
              <w:spacing w:line="360" w:lineRule="auto"/>
              <w:ind w:left="0" w:right="0" w:firstLine="493"/>
            </w:pPr>
            <w:r>
              <w:rPr>
                <w:rFonts w:ascii="Cambria" w:hAnsi="Cambria"/>
                <w:b w:val="false"/>
                <w:sz w:val="24"/>
              </w:rPr>
              <w:t>Se consultă, acolo unde este posibil, următoarele surse:</w:t>
            </w:r>
          </w:p>
          <w:p>
            <w:pPr>
              <w:pStyle w:val="ListParagraph"/>
              <w:numPr>
                <w:ilvl w:val="0"/>
                <w:numId w:val="2"/>
              </w:numPr>
            </w:pPr>
            <w:r>
              <w:rPr>
                <w:rFonts w:ascii="Cambria" w:hAnsi="Cambria"/>
                <w:b w:val="false"/>
                <w:sz w:val="24"/>
              </w:rPr>
              <w:t>MySMIS / ROSE / AFIR / site-uri de transparență ale programelor UE;</w:t>
            </w:r>
          </w:p>
          <w:p>
            <w:pPr>
              <w:pStyle w:val="ListParagraph"/>
              <w:numPr>
                <w:ilvl w:val="0"/>
                <w:numId w:val="2"/>
              </w:numPr>
            </w:pPr>
            <w:r>
              <w:rPr>
                <w:rFonts w:ascii="Cambria" w:hAnsi="Cambria"/>
                <w:b w:val="false"/>
                <w:sz w:val="24"/>
              </w:rPr>
              <w:t>Rapoarte de implementare ale programelor (PNDR, POR, POCU, INTERREG etc.);</w:t>
            </w:r>
          </w:p>
          <w:p>
            <w:pPr>
              <w:pStyle w:val="ListParagraph"/>
              <w:numPr>
                <w:ilvl w:val="0"/>
                <w:numId w:val="2"/>
              </w:numPr>
            </w:pPr>
            <w:r>
              <w:rPr>
                <w:rFonts w:ascii="Cambria" w:hAnsi="Cambria"/>
                <w:b w:val="false"/>
                <w:sz w:val="24"/>
              </w:rPr>
              <w:t>Rapoarte și liste de proiecte aprobate disponibile public.</w:t>
            </w:r>
          </w:p>
          <w:p>
            <w:pPr>
              <w:spacing w:line="360" w:lineRule="auto"/>
              <w:ind w:left="0" w:right="0" w:firstLine="493"/>
            </w:pPr>
            <w:r>
              <w:rPr>
                <w:rFonts w:ascii="Cambria" w:hAnsi="Cambria"/>
                <w:b w:val="false"/>
                <w:sz w:val="24"/>
              </w:rPr>
              <w:t>Documente obligatorii:</w:t>
            </w:r>
          </w:p>
          <w:p>
            <w:pPr>
              <w:pStyle w:val="ListParagraph"/>
              <w:numPr>
                <w:ilvl w:val="0"/>
                <w:numId w:val="3"/>
              </w:numPr>
            </w:pPr>
            <w:r>
              <w:rPr>
                <w:rFonts w:ascii="Cambria" w:hAnsi="Cambria"/>
                <w:b w:val="false"/>
                <w:sz w:val="24"/>
              </w:rPr>
              <w:t>Declarație pe propria răspundere privind lipsa unei finanțări similare anterioare (model inclus în ghid);</w:t>
            </w:r>
          </w:p>
          <w:p>
            <w:pPr>
              <w:pStyle w:val="ListParagraph"/>
              <w:numPr>
                <w:ilvl w:val="0"/>
                <w:numId w:val="3"/>
              </w:numPr>
            </w:pPr>
            <w:r>
              <w:rPr>
                <w:rFonts w:ascii="Cambria" w:hAnsi="Cambria"/>
                <w:b w:val="false"/>
                <w:sz w:val="24"/>
              </w:rPr>
              <w:t>Lista proiectelor implementate/în implementare de solicitant, care este menționată în cererea de finanțare:</w:t>
            </w:r>
          </w:p>
          <w:p>
            <w:pPr>
              <w:pStyle w:val="ListParagraph"/>
              <w:numPr>
                <w:ilvl w:val="0"/>
                <w:numId w:val="3"/>
              </w:numPr>
            </w:pPr>
            <w:r>
              <w:rPr>
                <w:rFonts w:ascii="Cambria" w:hAnsi="Cambria"/>
                <w:b w:val="false"/>
                <w:sz w:val="24"/>
              </w:rPr>
              <w:t>Alte documente justificative.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Solicitanți care au experiență în activități similare cu cele pentru care solicită finanțare.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Solicitanți care au experiență în activități similare cu cele pentru care solicită finanțare.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evaluează capacitatea solicitantului de a implementa cu succes proiectul propus, pe baza experienței anterioare în activități comparabile (ex: organizarea de evenimente culturale, restaurarea de obiective patrimoniale, conservarea meșteșugurilor tradiționale, promovarea valorilor locale etc.).</w:t>
            </w:r>
          </w:p>
          <w:p>
            <w:pPr>
              <w:spacing w:line="360" w:lineRule="auto"/>
              <w:ind w:left="0" w:right="0" w:firstLine="493"/>
            </w:pPr>
            <w:r>
              <w:rPr>
                <w:rFonts w:ascii="Cambria" w:hAnsi="Cambria"/>
                <w:b w:val="false"/>
                <w:sz w:val="24"/>
              </w:rPr>
              <w:t>Se consideră relevante activitățile anterioare care:  </w:t>
            </w:r>
          </w:p>
          <w:p>
            <w:pPr>
              <w:pStyle w:val="ListParagraph"/>
              <w:numPr>
                <w:ilvl w:val="0"/>
                <w:numId w:val="2"/>
              </w:numPr>
            </w:pPr>
            <w:r>
              <w:rPr>
                <w:rFonts w:ascii="Cambria" w:hAnsi="Cambria"/>
                <w:b w:val="false"/>
                <w:sz w:val="24"/>
              </w:rPr>
              <w:t>au fost desfășurate  </w:t>
            </w:r>
            <w:r>
              <w:rPr>
                <w:rFonts w:ascii="Cambria" w:hAnsi="Cambria"/>
                <w:b w:val="false"/>
                <w:sz w:val="24"/>
              </w:rPr>
              <w:t>în ultimii 5 ani</w:t>
            </w:r>
            <w:r>
              <w:rPr>
                <w:rFonts w:ascii="Cambria" w:hAnsi="Cambria"/>
                <w:b w:val="false"/>
                <w:sz w:val="24"/>
              </w:rPr>
              <w:t>  (sau alt interval definit în ghid);</w:t>
            </w:r>
          </w:p>
          <w:p>
            <w:pPr>
              <w:pStyle w:val="ListParagraph"/>
              <w:numPr>
                <w:ilvl w:val="0"/>
                <w:numId w:val="2"/>
              </w:numPr>
            </w:pPr>
            <w:r>
              <w:rPr>
                <w:rFonts w:ascii="Cambria" w:hAnsi="Cambria"/>
                <w:b w:val="false"/>
                <w:sz w:val="24"/>
              </w:rPr>
              <w:t>sunt  </w:t>
            </w:r>
            <w:r>
              <w:rPr>
                <w:rFonts w:ascii="Cambria" w:hAnsi="Cambria"/>
                <w:b w:val="false"/>
                <w:sz w:val="24"/>
              </w:rPr>
              <w:t>similare din punct de vedere tematic și funcțional</w:t>
            </w:r>
            <w:r>
              <w:rPr>
                <w:rFonts w:ascii="Cambria" w:hAnsi="Cambria"/>
                <w:b w:val="false"/>
                <w:sz w:val="24"/>
              </w:rPr>
              <w:t>  cu activitățile propuse spre finanțare;</w:t>
            </w:r>
          </w:p>
          <w:p>
            <w:pPr>
              <w:pStyle w:val="ListParagraph"/>
              <w:numPr>
                <w:ilvl w:val="0"/>
                <w:numId w:val="2"/>
              </w:numPr>
            </w:pPr>
            <w:r>
              <w:rPr>
                <w:rFonts w:ascii="Cambria" w:hAnsi="Cambria"/>
                <w:b w:val="false"/>
                <w:sz w:val="24"/>
              </w:rPr>
              <w:t>au fost derulate direct de solicitant (ca organizator, implementator, partener sau beneficiar direct).</w:t>
            </w:r>
          </w:p>
          <w:p>
            <w:pPr>
              <w:spacing w:line="360" w:lineRule="auto"/>
              <w:ind w:left="0" w:right="0" w:firstLine="493"/>
            </w:pPr>
            <w:r>
              <w:rPr>
                <w:rFonts w:ascii="Cambria" w:hAnsi="Cambria"/>
                <w:b w:val="false"/>
                <w:sz w:val="24"/>
              </w:rPr>
              <w:t>Se evaluează coerența informațiilor prezentate: denumirea activității, perioada, obiectivul, rezultatele.</w:t>
            </w:r>
          </w:p>
          <w:p>
            <w:pPr>
              <w:spacing w:line="360" w:lineRule="auto"/>
              <w:ind w:left="0" w:right="0" w:firstLine="493"/>
            </w:pPr>
            <w:r>
              <w:rPr>
                <w:rFonts w:ascii="Cambria" w:hAnsi="Cambria"/>
                <w:b w:val="false"/>
                <w:sz w:val="24"/>
              </w:rPr>
              <w:t>Se analizează documente care dovedesc experiența: contracte, rapoarte de activitate, fotografii, articole, materiale de promovare, scrisori de recomandare etc.</w:t>
            </w:r>
          </w:p>
          <w:p>
            <w:pPr>
              <w:spacing w:line="360" w:lineRule="auto"/>
              <w:ind w:left="0" w:right="0" w:firstLine="493"/>
            </w:pPr>
            <w:r>
              <w:rPr>
                <w:rFonts w:ascii="Cambria" w:hAnsi="Cambria"/>
                <w:b w:val="false"/>
                <w:sz w:val="24"/>
              </w:rPr>
              <w:t>Documente doveditoare:  rapoarte de activitate, articole media,pliante, afișe,înregistrări video, fotografii, materiale de promovare,invitații/rapoarte de participare etc. </w:t>
            </w:r>
          </w:p>
          <w:p>
            <w:pPr>
              <w:spacing w:line="360" w:lineRule="auto"/>
              <w:ind w:left="0" w:right="0" w:firstLine="493"/>
            </w:pPr>
            <w:r>
              <w:rPr>
                <w:rFonts w:ascii="Cambria" w:hAnsi="Cambria"/>
                <w:b w:val="false"/>
                <w:sz w:val="24"/>
              </w:rPr>
              <w:t>Nu este necesar ca solicitantul să fi derulat anterior proiecte finanțate din fonduri europene — experiența poate fi dobândită și din surse proprii sau alte forme de susținere.</w:t>
            </w:r>
          </w:p>
          <w:p>
            <w:pPr>
              <w:spacing w:line="360" w:lineRule="auto"/>
              <w:ind w:left="0" w:right="0" w:firstLine="493"/>
            </w:pPr>
            <w:r>
              <w:rPr>
                <w:rFonts w:ascii="Cambria" w:hAnsi="Cambria"/>
                <w:b w:val="false"/>
                <w:sz w:val="24"/>
              </w:rPr>
              <w:t>Documente obligatorii:</w:t>
            </w:r>
          </w:p>
          <w:p>
            <w:r>
              <w:rPr>
                <w:rFonts w:ascii="Cambria" w:hAnsi="Cambria"/>
                <w:b w:val="false"/>
                <w:sz w:val="24"/>
              </w:rPr>
              <w:t>- Cererea de finanțare;- Memoriul justificativ/Studiul de fezabilitate/DALI;-  </w:t>
            </w:r>
            <w:r>
              <w:rPr>
                <w:rFonts w:ascii="Cambria" w:hAnsi="Cambria"/>
                <w:b w:val="false"/>
                <w:sz w:val="24"/>
              </w:rPr>
              <w:t>Declarație pe propria răspundere</w:t>
            </w:r>
            <w:r>
              <w:rPr>
                <w:rFonts w:ascii="Cambria" w:hAnsi="Cambria"/>
                <w:b w:val="false"/>
                <w:sz w:val="24"/>
              </w:rPr>
              <w:t>  privind experiența relevantă;- Alte documente relevante care susțin acordarea punctajului.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Gradul de acoperire a populației deservite: proiecte care deservesc localităţi cu o populație peste 4.000 de locuitori, proiecte care deservesc localităţi cu o populație sub 4.000 de locuitori.</w:t>
            </w:r>
          </w:p>
        </w:tc>
        <w:tc>
          <w:tcPr>
            <w:shd w:val="clear" w:color="auto" w:fill="CCE1DB"/>
            <w:vAlign w:val="center"/>
          </w:tcPr>
          <w:p>
            <w:pPr>
              <w:spacing w:line="360" w:lineRule="auto"/>
              <w:ind w:left="0" w:right="0" w:firstLine="493"/>
            </w:pPr>
            <w:r>
              <w:rPr>
                <w:rFonts w:ascii="Cambria Bold" w:hAnsi="Cambria Bold"/>
                <w:b/>
                <w:color w:val="014935"/>
                <w:sz w:val="24"/>
              </w:rPr>
              <w:t>Max.40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Gradul de acoperire a populației deservite: proiecte care deservesc localităţi cu o populație peste 4.000 de locuitori.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si documente obligatorii:      Se va verifica dacă solicitantul a făcut precizări în cadrul Memoriului justificativ/Studiului de fezabilitate/DALI cu privire la numărul de locuitori deserviți prin proiect. Se vor verifica rezultatele recensământului populației și a locuințelor efectuat în 2021.      Documente obligatorii:- Cererea de finanțare;- Memoriul justificativ/Studiul de fezabilitate/DALI;- Alte documente relevante care susțin acordarea punctajului.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4.2</w:t>
            </w:r>
          </w:p>
        </w:tc>
        <w:tc>
          <w:tcPr>
            <w:shd w:val="clear" w:color="auto" w:fill="F8ECD2"/>
            <w:vAlign w:val="center"/>
          </w:tcPr>
          <w:p>
            <w:r>
              <w:rPr>
                <w:rFonts w:ascii="Cambria" w:hAnsi="Cambria"/>
                <w:b w:val="false"/>
                <w:color w:val="58400C"/>
                <w:sz w:val="24"/>
              </w:rPr>
              <w:t>Gradul de acoperire a populației deservite: proiecte care deservesc localităţi cu o populație sub 4.000 de locuitori.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si documente obligatorii:      Se va verifica dacă solicitantul a făcut precizări în cadrul Memoriului justificativ/Studiului de fezabilitate/DALI cu privire la numărul de locuitori deserviți prin proiect. Se vor verifica rezultatele recensământului populației și a locuințelor efectuat în 2021.      Documente obligatorii:- Cererea de finanțare;- Memoriul justificativ/Studiul de fezabilitate/DALI;- Alte documente relevante care susțin acordarea punctajului.</w:t>
            </w:r>
            <w:r>
              <w:rPr>
                <w:rFonts w:ascii="Cambria" w:hAnsi="Cambria"/>
                <w:b w:val="false"/>
                <w:sz w:val="24"/>
              </w:rPr>
              <w:t>Atenție!Punctajul maxim la criteriile de selecție este 100 puncte.Pragul minim de punctaj admis pentru fiecare proiect este de 30 puncte și reprezintă pragul sub care niciun proiect nu poate intra la finanțare.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Durata de implementare mairedusă</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Au prioritate pentru proiectele cu termen mai scurt de finalizare.Se vor verifica estimările din cererea de finantare.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Numărul de beneficiari direcți și indirecți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Are prioritate proiectul cu cel mai mare număr de beneficiari direcți și indirecți.Se vor verifica documentele care conțin informații care susțin acest criteriu: Cererea de finanțare, Memoriul justificativ/Studiul de fezabilitate/DALI.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b01040b84d64748" /><Relationship Type="http://schemas.openxmlformats.org/officeDocument/2006/relationships/numbering" Target="/word/numbering.xml" Id="R002f76ddbce4442a" /></Relationships>
</file>