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dc352058f2864bb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4 - Dezvoltare durabilă în teritoriul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angajeze că va asigura mentenanța investiției pe o perioadă de minim 3 ani (5 ani pentru proiectele care prevad Constructii+Montaj) de la data ultimei plaţi.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are obligația de a se angaja în mod ferm că va asigura întreținerea și mentenanța investiției realizate prin proiect, pe o perioadă de minimum 5 ani, începând de la data finalizării ultimei cereri de plată.</w:t>
            </w:r>
          </w:p>
          <w:p>
            <w:pPr>
              <w:spacing w:line="360" w:lineRule="auto"/>
              <w:ind w:left="0" w:right="0" w:firstLine="493"/>
            </w:pPr>
            <w:r>
              <w:rPr>
                <w:rFonts w:ascii="Cambria" w:hAnsi="Cambria"/>
                <w:b w:val="false"/>
                <w:sz w:val="24"/>
              </w:rPr>
              <w:t>Calculul termenului se face de la data plății finale a ajutorului financiar nerambursabil (ultima cerere de plată aprobată). Angajamentul se va exprima în cadrul HCL/HAGA, anexată cererii de finanțare;</w:t>
            </w:r>
          </w:p>
          <w:p>
            <w:pPr>
              <w:spacing w:line="360" w:lineRule="auto"/>
              <w:ind w:left="0" w:right="0" w:firstLine="493"/>
            </w:pPr>
            <w:r>
              <w:rPr>
                <w:rFonts w:ascii="Cambria" w:hAnsi="Cambria"/>
                <w:b w:val="false"/>
                <w:sz w:val="24"/>
              </w:rPr>
              <w:t>Nerespectarea acestei obligații poate conduce la recuperarea totală sau parțială a sprijinului financiar acordat.</w:t>
            </w:r>
          </w:p>
          <w:p>
            <w:pPr>
              <w:spacing w:line="360" w:lineRule="auto"/>
              <w:ind w:left="0" w:right="0" w:firstLine="493"/>
            </w:pPr>
            <w:r>
              <w:rPr>
                <w:rFonts w:ascii="Cambria" w:hAnsi="Cambria"/>
                <w:b w:val="false"/>
                <w:sz w:val="24"/>
              </w:rPr>
              <w:t>Calculul termenului se face de la data plății finale a ajutorului financiar nerambursabil (ultima cerere de plată aprobată).</w:t>
            </w:r>
          </w:p>
          <w:p>
            <w:pPr>
              <w:spacing w:line="360" w:lineRule="auto"/>
              <w:ind w:left="0" w:right="0" w:firstLine="493"/>
            </w:pPr>
            <w:r>
              <w:rPr>
                <w:rFonts w:ascii="Cambria" w:hAnsi="Cambria"/>
                <w:b w:val="false"/>
                <w:sz w:val="24"/>
              </w:rPr>
              <w:t>Angajamentul se va exprima în cadrul HCL/HAGA, anexată cererii de finanțare;</w:t>
            </w:r>
          </w:p>
          <w:p>
            <w:pPr>
              <w:spacing w:line="360" w:lineRule="auto"/>
              <w:ind w:left="0" w:right="0" w:firstLine="493"/>
            </w:pPr>
            <w:r>
              <w:rPr>
                <w:rFonts w:ascii="Cambria" w:hAnsi="Cambria"/>
                <w:b w:val="false"/>
                <w:sz w:val="24"/>
              </w:rPr>
              <w:t>Nerespectarea acestei obligații poate conduce la recuperarea totală sau parțială a sprijinului financiar acordat.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trebuie sa se încadreaze în cel puțin unul din tipurile de sprijin prevăzute prin  măsura din cadrul SDL reprezentând investiții în infrastructură sau servicii locale de bază destinate populației rurale, infrastructură socială și în domeniul sănătății.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w:t>
            </w:r>
          </w:p>
          <w:p>
            <w:pPr>
              <w:spacing w:line="360" w:lineRule="auto"/>
              <w:ind w:left="0" w:right="0" w:firstLine="493"/>
            </w:pPr>
            <w:r>
              <w:rPr>
                <w:rFonts w:ascii="Cambria" w:hAnsi="Cambria"/>
                <w:b w:val="false"/>
                <w:sz w:val="24"/>
              </w:rPr>
              <w:t>- Corespondența dintre tipul de proiect propus și tipurile de sprijin din SDL;</w:t>
            </w:r>
          </w:p>
          <w:p>
            <w:pPr>
              <w:spacing w:line="360" w:lineRule="auto"/>
              <w:ind w:left="0" w:right="0" w:firstLine="493"/>
            </w:pPr>
            <w:r>
              <w:rPr>
                <w:rFonts w:ascii="Cambria" w:hAnsi="Cambria"/>
                <w:b w:val="false"/>
                <w:sz w:val="24"/>
              </w:rPr>
              <w:t>- Concordanța între descrierea proiectului și documentele justificative;</w:t>
            </w:r>
          </w:p>
          <w:p>
            <w:pPr>
              <w:spacing w:line="360" w:lineRule="auto"/>
              <w:ind w:left="0" w:right="0" w:firstLine="493"/>
            </w:pPr>
            <w:r>
              <w:rPr>
                <w:rFonts w:ascii="Cambria" w:hAnsi="Cambria"/>
                <w:b w:val="false"/>
                <w:sz w:val="24"/>
              </w:rPr>
              <w:t>- Gradul de detaliere și claritate în susținerea eligibilității.  </w:t>
            </w:r>
          </w:p>
          <w:p>
            <w:pPr>
              <w:spacing w:line="360" w:lineRule="auto"/>
              <w:ind w:left="0" w:right="0" w:firstLine="493"/>
            </w:pPr>
            <w:r>
              <w:rPr>
                <w:rFonts w:ascii="Cambria" w:hAnsi="Cambria"/>
                <w:b w:val="false"/>
                <w:sz w:val="24"/>
              </w:rPr>
              <w:t>Dacă proiectul nu se încadrează în niciuna dintre categoriile de sprijin prevăzute sau dacă documentele justificative lipsesc ori sunt neconcludente, proiectul va fi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va respecta legislația în vigoare din domeniul: sănătății publice, sanitar-veterinare și de siguranță alimentară.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va verifica:</w:t>
            </w:r>
          </w:p>
          <w:p>
            <w:pPr>
              <w:spacing w:line="360" w:lineRule="auto"/>
              <w:ind w:left="0" w:right="0" w:firstLine="493"/>
            </w:pPr>
            <w:r>
              <w:rPr>
                <w:rFonts w:ascii="Cambria" w:hAnsi="Cambria"/>
                <w:b w:val="false"/>
                <w:sz w:val="24"/>
              </w:rPr>
              <w:t>- Existența declarațiilor și avizelor relevante;</w:t>
            </w:r>
          </w:p>
          <w:p>
            <w:pPr>
              <w:spacing w:line="360" w:lineRule="auto"/>
              <w:ind w:left="0" w:right="0" w:firstLine="493"/>
            </w:pPr>
            <w:r>
              <w:rPr>
                <w:rFonts w:ascii="Cambria" w:hAnsi="Cambria"/>
                <w:b w:val="false"/>
                <w:sz w:val="24"/>
              </w:rPr>
              <w:t>- Concordanța dintre tipul investiției și cerințele legale din domeniile vizate;</w:t>
            </w:r>
          </w:p>
          <w:p>
            <w:pPr>
              <w:spacing w:line="360" w:lineRule="auto"/>
              <w:ind w:left="0" w:right="0" w:firstLine="493"/>
            </w:pPr>
            <w:r>
              <w:rPr>
                <w:rFonts w:ascii="Cambria" w:hAnsi="Cambria"/>
                <w:b w:val="false"/>
                <w:sz w:val="24"/>
              </w:rPr>
              <w:t>- Dacă avizele sunt emise de autoritățile competente și sunt valabile.</w:t>
            </w:r>
          </w:p>
          <w:p>
            <w:pPr>
              <w:spacing w:line="360" w:lineRule="auto"/>
              <w:ind w:left="0" w:right="0" w:firstLine="493"/>
            </w:pPr>
            <w:r>
              <w:rPr>
                <w:rFonts w:ascii="Cambria" w:hAnsi="Cambria"/>
                <w:b w:val="false"/>
                <w:sz w:val="24"/>
              </w:rPr>
              <w:t>Lipsa angajamentului privind conformitatea legală sau refuzul de a furniza documentele solicitate poate conduce la  </w:t>
            </w:r>
            <w:r>
              <w:rPr>
                <w:rFonts w:ascii="Cambria" w:hAnsi="Cambria"/>
                <w:b w:val="false"/>
                <w:sz w:val="24"/>
              </w:rPr>
              <w:t>respingerea acestuia ca neeligibil</w:t>
            </w:r>
            <w:r>
              <w:rPr>
                <w:rFonts w:ascii="Cambria" w:hAnsi="Cambria"/>
                <w:b w:val="false"/>
                <w:sz w:val="24"/>
              </w:rPr>
              <w: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 Investiția trebuie să fie în corelare cu orice strategie de dezvoltare naţională / regională / județeană / locală aprobată, corespunzătoare domeniului de investiţii.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  </w:t>
            </w:r>
            <w:r>
              <w:rPr>
                <w:rFonts w:ascii="Cambria" w:hAnsi="Cambria"/>
                <w:b w:val="false"/>
                <w:color w:val="000000"/>
                <w:sz w:val="24"/>
              </w:rPr>
              <w:t>Se va verifica extrasul din strategie, din care rezultă că investiția este în corelare cu orice strategie de dezvoltare națională/regională/județeană/locală aprobată, corespunzătoare domeniului de investiții precum şi copia hotărârii de aprobare a strategiei.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Investiția să se realizeze în teritoriul acoperit de GAL Valea Siretului de Sus.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  </w:t>
            </w:r>
            <w:r>
              <w:rPr>
                <w:rFonts w:ascii="Cambria" w:hAnsi="Cambria"/>
                <w:b w:val="false"/>
                <w:sz w:val="24"/>
              </w:rPr>
              <w:t>Se va verifica dacă investiția se realizeză în teritoriul GAL.</w:t>
            </w:r>
          </w:p>
          <w:p>
            <w:pPr>
              <w:spacing w:line="360" w:lineRule="auto"/>
              <w:ind w:left="0" w:right="0" w:firstLine="493"/>
            </w:pPr>
            <w:r>
              <w:rPr>
                <w:rFonts w:ascii="Cambria" w:hAnsi="Cambria"/>
                <w:b w:val="false"/>
                <w:sz w:val="24"/>
              </w:rPr>
              <w:t>Se vor verifica următoarele documente:</w:t>
            </w:r>
          </w:p>
          <w:p>
            <w:pPr>
              <w:pStyle w:val="ListParagraph"/>
              <w:numPr>
                <w:ilvl w:val="0"/>
                <w:numId w:val="2"/>
              </w:numPr>
            </w:pPr>
            <w:r>
              <w:rPr>
                <w:rFonts w:ascii="Cambria" w:hAnsi="Cambria"/>
                <w:b w:val="false"/>
                <w:sz w:val="24"/>
              </w:rPr>
              <w:t> Documente verificate Studiile de Fezabilitate/Documentațiile de Avizare pentru Lucrări de Intervenții.</w:t>
            </w:r>
          </w:p>
          <w:p>
            <w:pPr>
              <w:pStyle w:val="ListParagraph"/>
              <w:numPr>
                <w:ilvl w:val="0"/>
                <w:numId w:val="2"/>
              </w:numPr>
            </w:pPr>
            <w:r>
              <w:rPr>
                <w:rFonts w:ascii="Cambria" w:hAnsi="Cambria"/>
                <w:b w:val="false"/>
                <w:sz w:val="24"/>
              </w:rPr>
              <w:t>Inventarul bunurilor ce aparţin domeniului public al comunei/orașului, întocmit conform legislaţiei în vigoare privind proprietatea publică şi regimul juridic al acesteia, atestat prin Hotărâre a Guvernului şi publicat în Monitorul Oficial al României (copie după Monitorul Oficial).</w:t>
            </w:r>
          </w:p>
          <w:p>
            <w:pPr>
              <w:pStyle w:val="ListParagraph"/>
              <w:numPr>
                <w:ilvl w:val="0"/>
                <w:numId w:val="2"/>
              </w:numPr>
            </w:pPr>
            <w:r>
              <w:rPr>
                <w:rFonts w:ascii="Cambria" w:hAnsi="Cambria"/>
                <w:b w:val="false"/>
                <w:sz w:val="24"/>
              </w:rPr>
              <w:t>Hotărârea Consiliului Local privind aprobarea modificărilor şi/sau completărilor la inventar în sensul includerii în domeniul public, cu respectarea prevederilor Art. 115 alin (7) din Legea nr. 215/ 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 în condițiile legii).</w:t>
            </w:r>
          </w:p>
          <w:p>
            <w:pPr>
              <w:spacing w:line="360" w:lineRule="auto"/>
              <w:ind w:left="0" w:right="0" w:firstLine="493"/>
            </w:pPr>
            <w:r>
              <w:rPr>
                <w:rFonts w:ascii="Cambria" w:hAnsi="Cambria"/>
                <w:b w:val="false"/>
                <w:sz w:val="24"/>
              </w:rPr>
              <w:t>sau</w:t>
            </w:r>
          </w:p>
          <w:p>
            <w:pPr>
              <w:pStyle w:val="ListParagraph"/>
              <w:numPr>
                <w:ilvl w:val="0"/>
                <w:numId w:val="3"/>
              </w:numPr>
            </w:pPr>
            <w:r>
              <w:rPr>
                <w:rFonts w:ascii="Cambria" w:hAnsi="Cambria"/>
                <w:b w:val="false"/>
                <w:sz w:val="24"/>
              </w:rPr>
              <w:t>Documente doveditoare ale dreptului de proprietate/contract de concesiune/delegare a administrării bunului imobil, valabil pentru o perioadă de cel puțin 10 ani de la data depunerii Cerere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proiectului trebuie să se încadreze în categoria beneficiariloreligibili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Documentele de înființare ale beneficiarului.</w:t>
            </w:r>
            <w:r>
              <w:rPr>
                <w:rFonts w:ascii="Cambria Bold" w:hAnsi="Cambria Bold"/>
                <w:b/>
                <w:sz w:val="24"/>
              </w:rPr>
              <w:t>Metodologia</w:t>
            </w:r>
            <w:r>
              <w:rPr>
                <w:rFonts w:ascii="Cambria" w:hAnsi="Cambria"/>
                <w:b w:val="false"/>
                <w:sz w:val="24"/>
              </w:rPr>
              <w:t>: Expertul va verifica Document care atestă forma de organizare a solicitantului:- C.I.F,- Actul de înfiinţare şi statutul ADI,</w:t>
            </w:r>
            <w:r>
              <w:rPr>
                <w:rFonts w:ascii="Cambria Bold" w:hAnsi="Cambria Bold"/>
                <w:b/>
                <w:sz w:val="24"/>
              </w:rPr>
              <w:t>Conditiile in care se considera indeplinit criteriul:</w:t>
            </w:r>
            <w:r>
              <w:rPr>
                <w:rFonts w:ascii="Cambria" w:hAnsi="Cambria"/>
                <w:b w:val="false"/>
                <w:sz w:val="24"/>
              </w:rPr>
              <w:t> Dacă verificarea documentelor confirmă faptul că solicitantul se incadrează în categoria beneficiarilor eligibili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Solicitantul nu trebuie să fie în insolvență, în conformitate cu legislația în viguare.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Buletinul procedurilor de insolvență</w:t>
            </w:r>
            <w:r>
              <w:rPr>
                <w:rFonts w:ascii="Cambria Bold" w:hAnsi="Cambria Bold"/>
                <w:b/>
                <w:sz w:val="24"/>
              </w:rPr>
              <w:t>Metodologia</w:t>
            </w:r>
            <w:r>
              <w:rPr>
                <w:rFonts w:ascii="Cambria" w:hAnsi="Cambria"/>
                <w:b w:val="false"/>
                <w:sz w:val="24"/>
              </w:rPr>
              <w:t>: Expertul va verifica în Buletinul procedurilor deinsolvență publicat pe site-ul Ministerului Justiției, dacă solicitantul este în situația deschiderii procedurii de insolvență.</w:t>
            </w:r>
            <w:r>
              <w:rPr>
                <w:rFonts w:ascii="Cambria Bold" w:hAnsi="Cambria Bold"/>
                <w:b/>
                <w:sz w:val="24"/>
              </w:rPr>
              <w:t>Conditiile in care se considera indeplinit criteriul:</w:t>
            </w:r>
            <w:r>
              <w:rPr>
                <w:rFonts w:ascii="Cambria" w:hAnsi="Cambria"/>
                <w:b w:val="false"/>
                <w:sz w:val="24"/>
              </w:rPr>
              <w:t> Dacă verificarea documentelor confirmă faptul că solicitantul nu este în insolvență  se va bifa caseta “da” pentru verificare. În caz contrar, angajatul GAL (expertul cooptat dupa caz) bifează casuţa din coloana NU şi motivează poziţia în rubrica „Observaţii”, criteriul deeligibilitate nefiind îndeplinit.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Gradul de acoperire a populației deservite: proiecte care deservesc localităţi cu o populație peste 4.000 de locuitori, proiecte care deservesc localităţi cu o populație sub 4.000 de locuitori.</w:t>
            </w:r>
          </w:p>
        </w:tc>
        <w:tc>
          <w:tcPr>
            <w:shd w:val="clear" w:color="auto" w:fill="CCE1DB"/>
            <w:vAlign w:val="center"/>
          </w:tcPr>
          <w:p>
            <w:pPr>
              <w:spacing w:line="360" w:lineRule="auto"/>
              <w:ind w:left="0" w:right="0" w:firstLine="493"/>
            </w:pPr>
            <w:r>
              <w:rPr>
                <w:rFonts w:ascii="Cambria Bold" w:hAnsi="Cambria Bold"/>
                <w:b/>
                <w:color w:val="014935"/>
                <w:sz w:val="24"/>
              </w:rPr>
              <w:t>Max.40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 </w:t>
            </w:r>
          </w:p>
        </w:tc>
        <w:tc>
          <w:tcPr>
            <w:shd w:val="clear" w:color="auto" w:fill="F8ECD2"/>
            <w:vAlign w:val="center"/>
          </w:tcPr>
          <w:p>
            <w:r>
              <w:rPr>
                <w:rFonts w:ascii="Cambria" w:hAnsi="Cambria"/>
                <w:b w:val="false"/>
                <w:color w:val="58400C"/>
                <w:sz w:val="24"/>
              </w:rPr>
              <w:t>Gradul de acoperire a populației deservite: proiecte care deservesc localităţi cu o populație peste 4.000 de locuitori.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rPr>
              <w:t>Se va verifica dacă solicitantul a făcut precizări în cadrul CF/</w:t>
            </w:r>
            <w:r>
              <w:rPr>
                <w:rFonts w:ascii="Cambria" w:hAnsi="Cambria"/>
                <w:b w:val="false"/>
                <w:color w:val="000000"/>
                <w:sz w:val="24"/>
              </w:rPr>
              <w:t>Memoriului justificativ/</w:t>
            </w:r>
            <w:r>
              <w:rPr>
                <w:rFonts w:ascii="Cambria" w:hAnsi="Cambria"/>
                <w:b w:val="false"/>
                <w:color w:val="000000"/>
                <w:sz w:val="24"/>
              </w:rPr>
              <w:t>Studiului de fezabilitate/DALI cu privire la numărul de locuitori deserviți prin proiect. Se vor verifica rezultatele recensământului populației și a locuințelor efectuat în 2021.</w:t>
            </w:r>
          </w:p>
          <w:p>
            <w:pPr>
              <w:spacing w:line="360" w:lineRule="auto"/>
              <w:ind w:left="0" w:right="0" w:firstLine="493"/>
            </w:pPr>
            <w:r>
              <w:rPr>
                <w:rFonts w:ascii="Cambria" w:hAnsi="Cambria"/>
                <w:b w:val="false"/>
                <w:color w:val="000000"/>
                <w:sz w:val="24"/>
              </w:rPr>
              <w:t>Documente obligatorii:</w:t>
            </w:r>
          </w:p>
          <w:p>
            <w:pPr>
              <w:spacing w:line="360" w:lineRule="auto"/>
              <w:ind w:left="0" w:right="0" w:firstLine="493"/>
            </w:pPr>
            <w:r>
              <w:rPr>
                <w:rFonts w:ascii="Cambria" w:hAnsi="Cambria"/>
                <w:b w:val="false"/>
                <w:color w:val="000000"/>
                <w:sz w:val="24"/>
              </w:rPr>
              <w:t>- Cererea de finanțare;</w:t>
            </w:r>
          </w:p>
          <w:p>
            <w:pPr>
              <w:spacing w:line="360" w:lineRule="auto"/>
              <w:ind w:left="0" w:right="0" w:firstLine="493"/>
            </w:pPr>
            <w:r>
              <w:rPr>
                <w:rFonts w:ascii="Cambria" w:hAnsi="Cambria"/>
                <w:b w:val="false"/>
                <w:color w:val="000000"/>
                <w:sz w:val="24"/>
              </w:rPr>
              <w:t>- 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 </w:t>
            </w:r>
          </w:p>
        </w:tc>
        <w:tc>
          <w:tcPr>
            <w:shd w:val="clear" w:color="auto" w:fill="F8ECD2"/>
            <w:vAlign w:val="center"/>
          </w:tcPr>
          <w:p>
            <w:r>
              <w:rPr>
                <w:rFonts w:ascii="Cambria" w:hAnsi="Cambria"/>
                <w:b w:val="false"/>
                <w:color w:val="58400C"/>
                <w:sz w:val="24"/>
              </w:rPr>
              <w:t>Gradul de acoperire a populației deservite: proiecte care deservesc localităţi cu o populație sub 4.000 de locuitori.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rPr>
              <w:t>Se va verifica dacă solicitantul a făcut precizări în cadrul CF/</w:t>
            </w:r>
            <w:r>
              <w:rPr>
                <w:rFonts w:ascii="Cambria" w:hAnsi="Cambria"/>
                <w:b w:val="false"/>
                <w:color w:val="000000"/>
                <w:sz w:val="24"/>
              </w:rPr>
              <w:t>Memoriului justificativ/</w:t>
            </w:r>
            <w:r>
              <w:rPr>
                <w:rFonts w:ascii="Cambria" w:hAnsi="Cambria"/>
                <w:b w:val="false"/>
                <w:color w:val="000000"/>
                <w:sz w:val="24"/>
              </w:rPr>
              <w:t>Studiului de fezabilitate/DALI cu privire la numărul de locuitori deserviți prin proiect. Se vor verifica rezultatele recensământului populației și a locuințelor efectuat în 2021.</w:t>
            </w:r>
          </w:p>
          <w:p>
            <w:pPr>
              <w:spacing w:line="360" w:lineRule="auto"/>
              <w:ind w:left="0" w:right="0" w:firstLine="493"/>
            </w:pPr>
            <w:r>
              <w:rPr>
                <w:rFonts w:ascii="Cambria" w:hAnsi="Cambria"/>
                <w:b w:val="false"/>
                <w:color w:val="000000"/>
                <w:sz w:val="24"/>
              </w:rPr>
              <w:t>Documente obligatorii:</w:t>
            </w:r>
          </w:p>
          <w:p>
            <w:pPr>
              <w:spacing w:line="360" w:lineRule="auto"/>
              <w:ind w:left="0" w:right="0" w:firstLine="493"/>
            </w:pPr>
            <w:r>
              <w:rPr>
                <w:rFonts w:ascii="Cambria" w:hAnsi="Cambria"/>
                <w:b w:val="false"/>
                <w:color w:val="000000"/>
                <w:sz w:val="24"/>
              </w:rPr>
              <w:t>- Cererea de finanțare;</w:t>
            </w:r>
          </w:p>
          <w:p>
            <w:pPr>
              <w:spacing w:line="360" w:lineRule="auto"/>
              <w:ind w:left="0" w:right="0" w:firstLine="493"/>
            </w:pPr>
            <w:r>
              <w:rPr>
                <w:rFonts w:ascii="Cambria" w:hAnsi="Cambria"/>
                <w:b w:val="false"/>
                <w:color w:val="000000"/>
                <w:sz w:val="24"/>
              </w:rPr>
              <w:t>- 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Complementaritatea cu alte investiții: proiecte care vin în completarea investițiilor finanțate prin fonduri europene 2007 - 2023, proiecte care vin în completarea investițiilor finanțate prin programe naționale.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 </w:t>
            </w:r>
          </w:p>
        </w:tc>
        <w:tc>
          <w:tcPr>
            <w:shd w:val="clear" w:color="auto" w:fill="F8ECD2"/>
            <w:vAlign w:val="center"/>
          </w:tcPr>
          <w:p>
            <w:r>
              <w:rPr>
                <w:rFonts w:ascii="Cambria" w:hAnsi="Cambria"/>
                <w:b w:val="false"/>
                <w:color w:val="58400C"/>
                <w:sz w:val="24"/>
              </w:rPr>
              <w:t>Complementaritatea cu alte investiții: proiecte care vin în completarea investițiilor finanțate prin fonduri europene 2007 - 2023, proiecte care vin în completarea investițiilor finanțate prin programe naționale.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vor analiza următoarele aspecte:</w:t>
            </w:r>
          </w:p>
          <w:p>
            <w:pPr>
              <w:spacing w:line="360" w:lineRule="auto"/>
              <w:ind w:left="0" w:right="0" w:firstLine="493"/>
            </w:pPr>
            <w:r>
              <w:rPr>
                <w:rFonts w:ascii="Cambria" w:hAnsi="Cambria"/>
                <w:b w:val="false"/>
                <w:sz w:val="24"/>
              </w:rPr>
              <w:t>- Complementaritatea trebuie să fie  </w:t>
            </w:r>
            <w:r>
              <w:rPr>
                <w:rFonts w:ascii="Cambria" w:hAnsi="Cambria"/>
                <w:b w:val="false"/>
                <w:sz w:val="24"/>
              </w:rPr>
              <w:t>clar justificată și demonstrabilă</w:t>
            </w:r>
            <w:r>
              <w:rPr>
                <w:rFonts w:ascii="Cambria" w:hAnsi="Cambria"/>
                <w:b w:val="false"/>
                <w:sz w:val="24"/>
              </w:rPr>
              <w:t>  în cadrul proiectului propus;</w:t>
            </w:r>
          </w:p>
          <w:p>
            <w:pPr>
              <w:spacing w:line="360" w:lineRule="auto"/>
              <w:ind w:left="0" w:right="0" w:firstLine="493"/>
            </w:pPr>
            <w:r>
              <w:rPr>
                <w:rFonts w:ascii="Cambria" w:hAnsi="Cambria"/>
                <w:b w:val="false"/>
                <w:sz w:val="24"/>
              </w:rPr>
              <w:t>- Proiectele care invocă complementaritate fără documente-suport vor fi punctate cu  </w:t>
            </w:r>
            <w:r>
              <w:rPr>
                <w:rFonts w:ascii="Cambria" w:hAnsi="Cambria"/>
                <w:b w:val="false"/>
                <w:sz w:val="24"/>
              </w:rPr>
              <w:t>0</w:t>
            </w:r>
            <w:r>
              <w:rPr>
                <w:rFonts w:ascii="Cambria" w:hAnsi="Cambria"/>
                <w:b w:val="false"/>
                <w:sz w:val="24"/>
              </w:rPr>
              <w:t>  la acest criteriu;</w:t>
            </w:r>
          </w:p>
          <w:p>
            <w:pPr>
              <w:spacing w:line="360" w:lineRule="auto"/>
              <w:ind w:left="0" w:right="0" w:firstLine="493"/>
            </w:pPr>
            <w:r>
              <w:rPr>
                <w:rFonts w:ascii="Cambria" w:hAnsi="Cambria"/>
                <w:b w:val="false"/>
                <w:sz w:val="24"/>
              </w:rPr>
              <w:t>- Este recomandat ca solicitantul să evidențieze complementaritatea și în cadrul  </w:t>
            </w:r>
            <w:r>
              <w:rPr>
                <w:rFonts w:ascii="Cambria" w:hAnsi="Cambria"/>
                <w:b w:val="false"/>
                <w:sz w:val="24"/>
              </w:rPr>
              <w:t>notei de fundamentare sau studiului de fezabilitate</w:t>
            </w:r>
            <w:r>
              <w:rPr>
                <w:rFonts w:ascii="Cambria" w:hAnsi="Cambria"/>
                <w:b w:val="false"/>
                <w:sz w:val="24"/>
              </w:rPr>
              <w:t>, după caz.</w:t>
            </w:r>
          </w:p>
          <w:p>
            <w:pPr>
              <w:spacing w:line="360" w:lineRule="auto"/>
              <w:ind w:left="0" w:right="0" w:firstLine="493"/>
            </w:pPr>
            <w:r>
              <w:rPr>
                <w:rFonts w:ascii="Cambria" w:hAnsi="Cambria"/>
                <w:b w:val="false"/>
                <w:sz w:val="24"/>
              </w:rPr>
              <w:t>- Dacă există o continuare directă, fizică și funcțională a unei investiții anterioare;</w:t>
            </w:r>
          </w:p>
          <w:p>
            <w:pPr>
              <w:spacing w:line="360" w:lineRule="auto"/>
              <w:ind w:left="0" w:right="0" w:firstLine="493"/>
            </w:pPr>
            <w:r>
              <w:rPr>
                <w:rFonts w:ascii="Cambria" w:hAnsi="Cambria"/>
                <w:b w:val="false"/>
                <w:sz w:val="24"/>
              </w:rPr>
              <w:t>- Dacă există  </w:t>
            </w:r>
            <w:r>
              <w:rPr>
                <w:rFonts w:ascii="Cambria" w:hAnsi="Cambria"/>
                <w:b w:val="false"/>
                <w:sz w:val="24"/>
              </w:rPr>
              <w:t>suprapuneri tematice, teritoriale și funcționale</w:t>
            </w:r>
            <w:r>
              <w:rPr>
                <w:rFonts w:ascii="Cambria" w:hAnsi="Cambria"/>
                <w:b w:val="false"/>
                <w:sz w:val="24"/>
              </w:rPr>
              <w:t>  între proiectul propus și investiția anterioară proiectul se va declara neeligibil.</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Prioritizarea proiectelor ale căror beneficiari finali sunt copii/tineri.</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 </w:t>
            </w:r>
          </w:p>
        </w:tc>
        <w:tc>
          <w:tcPr>
            <w:shd w:val="clear" w:color="auto" w:fill="F8ECD2"/>
            <w:vAlign w:val="center"/>
          </w:tcPr>
          <w:p>
            <w:r>
              <w:rPr>
                <w:rFonts w:ascii="Cambria" w:hAnsi="Cambria"/>
                <w:b w:val="false"/>
                <w:color w:val="58400C"/>
                <w:sz w:val="24"/>
              </w:rPr>
              <w:t>Prioritizarea proiectelor ale căror beneficiari finali sunt copii/tineri.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Solicitantul (UAT) trebuie să demonstreze că proiectul se adresează în mod direct acestor grupuri, prin următoarele elemente:</w:t>
            </w:r>
          </w:p>
          <w:p>
            <w:pPr>
              <w:pStyle w:val="ListParagraph"/>
              <w:numPr>
                <w:ilvl w:val="0"/>
                <w:numId w:val="4"/>
              </w:numPr>
            </w:pPr>
            <w:r>
              <w:rPr>
                <w:rFonts w:ascii="Cambria" w:hAnsi="Cambria"/>
                <w:b w:val="false"/>
                <w:sz w:val="24"/>
              </w:rPr>
              <w:t>Descrierea grupului-țintă în cererea de finanțare: trebuie să se menționeze explicit că beneficiarii finali sunt copii și/sau tineri, cu estimarea numărului acestora;</w:t>
            </w:r>
          </w:p>
          <w:p>
            <w:pPr>
              <w:pStyle w:val="ListParagraph"/>
              <w:numPr>
                <w:ilvl w:val="0"/>
                <w:numId w:val="4"/>
              </w:numPr>
            </w:pPr>
            <w:r>
              <w:rPr>
                <w:rFonts w:ascii="Cambria" w:hAnsi="Cambria"/>
                <w:b w:val="false"/>
                <w:sz w:val="24"/>
              </w:rPr>
              <w:t>Tipul de activități propuse, care trebuie să fie relevante pentru categoriile menționate (ex: activități educaționale, sportive, culturale, sociale, recreative, de formare etc.);</w:t>
            </w:r>
          </w:p>
          <w:p>
            <w:pPr>
              <w:pStyle w:val="ListParagraph"/>
              <w:numPr>
                <w:ilvl w:val="0"/>
                <w:numId w:val="4"/>
              </w:numPr>
            </w:pPr>
            <w:r>
              <w:rPr>
                <w:rFonts w:ascii="Cambria" w:hAnsi="Cambria"/>
                <w:b w:val="false"/>
                <w:sz w:val="24"/>
              </w:rPr>
              <w:t>Locația și accesibilitatea proiectului, inclusiv dovezi că infrastructura este adaptată pentru uzul copiilor/tinerilor;</w:t>
            </w:r>
          </w:p>
          <w:p>
            <w:pPr>
              <w:pStyle w:val="ListParagraph"/>
              <w:numPr>
                <w:ilvl w:val="0"/>
                <w:numId w:val="4"/>
              </w:numPr>
            </w:pPr>
            <w:r>
              <w:rPr>
                <w:rFonts w:ascii="Cambria" w:hAnsi="Cambria"/>
                <w:b w:val="false"/>
                <w:sz w:val="24"/>
              </w:rPr>
              <w:t>Parteneriate cu unități de învățământ, asociații de tineret, centre de zi, centre educaționale, etc., dacă este cazul.</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Caracterul inovativ al proiectului și/sau al investiției realizate prin proiect.</w:t>
            </w:r>
          </w:p>
        </w:tc>
        <w:tc>
          <w:tcPr>
            <w:shd w:val="clear" w:color="auto" w:fill="CCE1DB"/>
            <w:vAlign w:val="center"/>
          </w:tcPr>
          <w:p>
            <w:pPr>
              <w:spacing w:line="360" w:lineRule="auto"/>
              <w:ind w:left="0" w:right="0" w:firstLine="493"/>
            </w:pPr>
            <w:r>
              <w:rPr>
                <w:rFonts w:ascii="Cambria Bold" w:hAnsi="Cambria Bold"/>
                <w:b/>
                <w:color w:val="014935"/>
                <w:sz w:val="24"/>
              </w:rPr>
              <w:t>Max.20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 </w:t>
            </w:r>
          </w:p>
        </w:tc>
        <w:tc>
          <w:tcPr>
            <w:shd w:val="clear" w:color="auto" w:fill="F8ECD2"/>
            <w:vAlign w:val="center"/>
          </w:tcPr>
          <w:p>
            <w:r>
              <w:rPr>
                <w:rFonts w:ascii="Cambria" w:hAnsi="Cambria"/>
                <w:b w:val="false"/>
                <w:color w:val="58400C"/>
                <w:sz w:val="24"/>
              </w:rPr>
              <w:t>Gradul de noutate al serviciului/investiției realizate prin proiect </w:t>
            </w:r>
          </w:p>
        </w:tc>
        <w:tc>
          <w:tcPr>
            <w:vAlign w:val="center"/>
          </w:tcPr>
          <w:p>
            <w:pPr>
              <w:keepNext/>
              <w:jc w:val="center"/>
            </w:pPr>
            <w:r>
              <w:rPr>
                <w:rFonts w:ascii="Cambria" w:hAnsi="Cambria"/>
                <w:b w:val="false"/>
                <w:sz w:val="24"/>
              </w:rPr>
              <w:t>Max. 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daca  </w:t>
            </w:r>
            <w:r>
              <w:rPr>
                <w:rFonts w:ascii="Cambria" w:hAnsi="Cambria"/>
                <w:b w:val="false"/>
                <w:sz w:val="24"/>
                <w:lang w:val="ro"/>
              </w:rPr>
              <w:t>serviciul/investiția propus/ă nu a existat anterior în teritoriu sau aduce o abordare complet diferită față de serviciile/investițiile existente - maxim 5 puncte</w:t>
            </w:r>
          </w:p>
          <w:p>
            <w:pPr>
              <w:pStyle w:val="ListParagraph"/>
              <w:numPr>
                <w:ilvl w:val="0"/>
                <w:numId w:val="4"/>
              </w:numPr>
            </w:pPr>
            <w:r>
              <w:rPr>
                <w:rFonts w:ascii="Cambria" w:hAnsi="Cambria"/>
                <w:b w:val="false"/>
                <w:sz w:val="24"/>
                <w:lang w:val="ro"/>
              </w:rPr>
              <w:t>Serviciu complet nou pentru teritoriu: 5 puncte</w:t>
            </w:r>
          </w:p>
          <w:p>
            <w:pPr>
              <w:pStyle w:val="ListParagraph"/>
              <w:numPr>
                <w:ilvl w:val="0"/>
                <w:numId w:val="4"/>
              </w:numPr>
            </w:pPr>
            <w:r>
              <w:rPr>
                <w:rFonts w:ascii="Cambria" w:hAnsi="Cambria"/>
                <w:b w:val="false"/>
                <w:sz w:val="24"/>
                <w:lang w:val="ro"/>
              </w:rPr>
              <w:t>Inovație parțială sau îmbunătățire a unui serviciu existent: 2 puncte</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4.2 </w:t>
            </w:r>
          </w:p>
        </w:tc>
        <w:tc>
          <w:tcPr>
            <w:shd w:val="clear" w:color="auto" w:fill="F8ECD2"/>
            <w:vAlign w:val="center"/>
          </w:tcPr>
          <w:p>
            <w:r>
              <w:rPr>
                <w:rFonts w:ascii="Cambria" w:hAnsi="Cambria"/>
                <w:b w:val="false"/>
                <w:color w:val="58400C"/>
                <w:sz w:val="24"/>
              </w:rPr>
              <w:t>Adaptarea serviciului/investiției la nevoile locale identificate </w:t>
            </w:r>
          </w:p>
        </w:tc>
        <w:tc>
          <w:tcPr>
            <w:vAlign w:val="center"/>
          </w:tcPr>
          <w:p>
            <w:pPr>
              <w:keepNext/>
              <w:jc w:val="center"/>
            </w:pPr>
            <w:r>
              <w:rPr>
                <w:rFonts w:ascii="Cambria" w:hAnsi="Cambria"/>
                <w:b w:val="false"/>
                <w:sz w:val="24"/>
              </w:rPr>
              <w:t>Max. 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dacă  </w:t>
            </w:r>
            <w:r>
              <w:rPr>
                <w:rFonts w:ascii="Cambria" w:hAnsi="Cambria"/>
                <w:b w:val="false"/>
                <w:sz w:val="24"/>
                <w:lang w:val="ro"/>
              </w:rPr>
              <w:t>serviciul/investiția răspunde unor nevoi specifice ale comunității, demonstrate prin analize, consultări sau strategii locale - maxim 5 puncte</w:t>
            </w:r>
          </w:p>
          <w:p>
            <w:pPr>
              <w:pStyle w:val="ListParagraph"/>
              <w:numPr>
                <w:ilvl w:val="0"/>
                <w:numId w:val="4"/>
              </w:numPr>
            </w:pPr>
            <w:r>
              <w:rPr>
                <w:rFonts w:ascii="Cambria" w:hAnsi="Cambria"/>
                <w:b w:val="false"/>
                <w:sz w:val="24"/>
                <w:lang w:val="ro"/>
              </w:rPr>
              <w:t>Nevoi clar justificate în studii/analize: 5 puncte</w:t>
            </w:r>
          </w:p>
          <w:p>
            <w:pPr>
              <w:pStyle w:val="ListParagraph"/>
              <w:numPr>
                <w:ilvl w:val="0"/>
                <w:numId w:val="4"/>
              </w:numPr>
            </w:pPr>
            <w:r>
              <w:rPr>
                <w:rFonts w:ascii="Cambria" w:hAnsi="Cambria"/>
                <w:b w:val="false"/>
                <w:sz w:val="24"/>
              </w:rPr>
              <w:t>Nevoi demonstrate doar general: 2 puncte</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4.3 </w:t>
            </w:r>
          </w:p>
        </w:tc>
        <w:tc>
          <w:tcPr>
            <w:shd w:val="clear" w:color="auto" w:fill="F8ECD2"/>
            <w:vAlign w:val="center"/>
          </w:tcPr>
          <w:p>
            <w:r>
              <w:rPr>
                <w:rFonts w:ascii="Cambria" w:hAnsi="Cambria"/>
                <w:b w:val="false"/>
                <w:color w:val="58400C"/>
                <w:sz w:val="24"/>
              </w:rPr>
              <w:t>Gradul de digitalizare sau integrare tehnologică</w:t>
            </w:r>
          </w:p>
        </w:tc>
        <w:tc>
          <w:tcPr>
            <w:vAlign w:val="center"/>
          </w:tcPr>
          <w:p>
            <w:pPr>
              <w:keepNext/>
              <w:jc w:val="center"/>
            </w:pPr>
            <w:r>
              <w:rPr>
                <w:rFonts w:ascii="Cambria" w:hAnsi="Cambria"/>
                <w:b w:val="false"/>
                <w:sz w:val="24"/>
              </w:rPr>
              <w:t>Max. 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dacă  </w:t>
            </w:r>
            <w:r>
              <w:rPr>
                <w:rFonts w:ascii="Cambria" w:hAnsi="Cambria"/>
                <w:b w:val="false"/>
                <w:sz w:val="24"/>
                <w:lang w:val="ro"/>
              </w:rPr>
              <w:t>serviciul/investiția utilizează soluții digitale sau tehnologice inovatoare pentru eficientizarea livrării sau extinderea accesului - maxim 5 puncte</w:t>
            </w:r>
          </w:p>
          <w:p>
            <w:pPr>
              <w:pStyle w:val="ListParagraph"/>
              <w:numPr>
                <w:ilvl w:val="0"/>
                <w:numId w:val="4"/>
              </w:numPr>
            </w:pPr>
            <w:r>
              <w:rPr>
                <w:rFonts w:ascii="Cambria" w:hAnsi="Cambria"/>
                <w:b w:val="false"/>
                <w:sz w:val="24"/>
                <w:lang w:val="ro"/>
              </w:rPr>
              <w:t>Soluție digitală sau tehnologică principală: 5 puncte</w:t>
            </w:r>
          </w:p>
          <w:p>
            <w:pPr>
              <w:pStyle w:val="ListParagraph"/>
              <w:numPr>
                <w:ilvl w:val="0"/>
                <w:numId w:val="4"/>
              </w:numPr>
            </w:pPr>
            <w:r>
              <w:rPr>
                <w:rFonts w:ascii="Cambria" w:hAnsi="Cambria"/>
                <w:b w:val="false"/>
                <w:sz w:val="24"/>
              </w:rPr>
              <w:t>Utilizare parțială a tehnologiei: 2 puncte</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4.4 </w:t>
            </w:r>
          </w:p>
        </w:tc>
        <w:tc>
          <w:tcPr>
            <w:shd w:val="clear" w:color="auto" w:fill="F8ECD2"/>
            <w:vAlign w:val="center"/>
          </w:tcPr>
          <w:p>
            <w:r>
              <w:rPr>
                <w:rFonts w:ascii="Cambria" w:hAnsi="Cambria"/>
                <w:b w:val="false"/>
                <w:color w:val="58400C"/>
                <w:sz w:val="24"/>
              </w:rPr>
              <w:t>Sustenabilitatea serviciului/investiției </w:t>
            </w:r>
          </w:p>
        </w:tc>
        <w:tc>
          <w:tcPr>
            <w:vAlign w:val="center"/>
          </w:tcPr>
          <w:p>
            <w:pPr>
              <w:keepNext/>
              <w:jc w:val="center"/>
            </w:pPr>
            <w:r>
              <w:rPr>
                <w:rFonts w:ascii="Cambria" w:hAnsi="Cambria"/>
                <w:b w:val="false"/>
                <w:sz w:val="24"/>
              </w:rPr>
              <w:t>Max. 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verifică dacă  </w:t>
            </w:r>
            <w:r>
              <w:rPr>
                <w:rFonts w:ascii="Cambria" w:hAnsi="Cambria"/>
                <w:b w:val="false"/>
                <w:sz w:val="24"/>
                <w:lang w:val="ro"/>
              </w:rPr>
              <w:t>serviciul este viabil pe termen lung și poate fi extins către alte comunități sau domenii - maxim 5 puncte</w:t>
            </w:r>
          </w:p>
          <w:p>
            <w:pPr>
              <w:pStyle w:val="ListParagraph"/>
              <w:numPr>
                <w:ilvl w:val="0"/>
                <w:numId w:val="4"/>
              </w:numPr>
            </w:pPr>
            <w:r>
              <w:rPr>
                <w:rFonts w:ascii="Cambria" w:hAnsi="Cambria"/>
                <w:b w:val="false"/>
                <w:sz w:val="24"/>
              </w:rPr>
              <w:t>Viabil pe termen lung și replicabil: 5 puncte</w:t>
            </w:r>
          </w:p>
          <w:p>
            <w:pPr>
              <w:pStyle w:val="ListParagraph"/>
              <w:numPr>
                <w:ilvl w:val="0"/>
                <w:numId w:val="4"/>
              </w:numPr>
            </w:pPr>
            <w:r>
              <w:rPr>
                <w:rFonts w:ascii="Cambria" w:hAnsi="Cambria"/>
                <w:b w:val="false"/>
                <w:sz w:val="24"/>
              </w:rPr>
              <w:t>Viabilitate limitată: 2 puncte</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Cerere de finanțare;</w:t>
            </w:r>
          </w:p>
          <w:p>
            <w:pPr>
              <w:spacing w:line="360" w:lineRule="auto"/>
              <w:ind w:left="0" w:right="0" w:firstLine="493"/>
            </w:pPr>
            <w:r>
              <w:rPr>
                <w:rFonts w:ascii="Cambria" w:hAnsi="Cambria"/>
                <w:b w:val="false"/>
                <w:sz w:val="24"/>
              </w:rPr>
              <w:t>-  </w:t>
            </w:r>
            <w:r>
              <w:rPr>
                <w:rFonts w:ascii="Cambria" w:hAnsi="Cambria"/>
                <w:b w:val="false"/>
                <w:color w:val="000000"/>
                <w:sz w:val="24"/>
              </w:rPr>
              <w:t>Memoriul justificativ/Studiul de fezabilitate/DALI;</w:t>
            </w:r>
          </w:p>
          <w:p>
            <w:pPr>
              <w:spacing w:line="360" w:lineRule="auto"/>
              <w:ind w:left="0" w:right="0" w:firstLine="493"/>
            </w:pPr>
            <w:r>
              <w:rPr>
                <w:rFonts w:ascii="Cambria" w:hAnsi="Cambria"/>
                <w:b w:val="false"/>
                <w:color w:val="000000"/>
                <w:sz w:val="24"/>
              </w:rPr>
              <w:t>- Alte documente relevante care susțin acordarea punctajului.</w:t>
            </w:r>
          </w:p>
          <w:p>
            <w:pPr>
              <w:spacing w:line="360" w:lineRule="auto"/>
              <w:ind w:left="0" w:right="0" w:firstLine="493"/>
            </w:pPr>
            <w:r>
              <w:rPr>
                <w:rFonts w:ascii="Cambria" w:hAnsi="Cambria"/>
                <w:b w:val="false"/>
                <w:sz w:val="24"/>
                <w:lang w:val="ro"/>
              </w:rPr>
              <w:t>Solicitantul trebuie să descrie clar serviciul inovator, diferențele față de serviciile existente, și să prezinte dovezi ale nevoilor locale.</w:t>
            </w:r>
          </w:p>
          <w:p>
            <w:pPr>
              <w:spacing w:line="360" w:lineRule="auto"/>
              <w:ind w:left="0" w:right="0" w:firstLine="493"/>
            </w:pPr>
            <w:r>
              <w:rPr>
                <w:rFonts w:ascii="Cambria" w:hAnsi="Cambria"/>
                <w:b w:val="false"/>
                <w:sz w:val="24"/>
                <w:lang w:val="ro"/>
              </w:rPr>
              <w:t>Vor fi analizate documente precum: studii de nevoi, strategii locale, demonstrații tehnice, parteneriate.</w:t>
            </w:r>
          </w:p>
          <w:p>
            <w:pPr>
              <w:spacing w:line="360" w:lineRule="auto"/>
              <w:ind w:left="0" w:right="0" w:firstLine="493"/>
            </w:pPr>
            <w:r>
              <w:rPr>
                <w:rFonts w:ascii="Cambria" w:hAnsi="Cambria"/>
                <w:b w:val="false"/>
                <w:sz w:val="24"/>
                <w:lang w:val="ro"/>
              </w:rPr>
              <w:t>Lipsa unor dovezi clare de noutate sau de impact va conduce la punctaj diminuat.</w:t>
            </w:r>
          </w:p>
          <w:p>
            <w:pPr>
              <w:spacing w:line="360" w:lineRule="auto"/>
              <w:ind w:left="0" w:right="0" w:firstLine="493"/>
            </w:pPr>
            <w:r>
              <w:rPr>
                <w:rFonts w:ascii="Cambria Bold" w:hAnsi="Cambria Bold"/>
                <w:b/>
                <w:sz w:val="24"/>
                <w:u w:val="single"/>
              </w:rPr>
              <w:t>Atenție!</w:t>
            </w:r>
          </w:p>
          <w:p>
            <w:pPr>
              <w:spacing w:line="360" w:lineRule="auto"/>
              <w:ind w:left="0" w:right="0" w:firstLine="493"/>
            </w:pPr>
            <w:r>
              <w:rPr>
                <w:rFonts w:ascii="Cambria Bold" w:hAnsi="Cambria Bold"/>
                <w:b/>
                <w:sz w:val="24"/>
              </w:rPr>
              <w:t>Punctajul maxim la criteriile de selecție este 100 puncte.</w:t>
            </w:r>
          </w:p>
          <w:p>
            <w:pPr>
              <w:spacing w:line="360" w:lineRule="auto"/>
              <w:ind w:left="0" w:right="0" w:firstLine="493"/>
            </w:pPr>
            <w:r>
              <w:rPr>
                <w:rFonts w:ascii="Cambria Bold" w:hAnsi="Cambria Bold"/>
                <w:b/>
                <w:sz w:val="24"/>
              </w:rPr>
              <w:t>Pragul minim de punctaj admis pentru fiecare proiect este de 30 puncte și reprezintă pragul sub care niciun proiect nu poate intra la finanțare.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Numărul de beneficiari direcți și indirecți ai proiectului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Are prioritate  proiectul cu cel mai mare număr de beneficiari direcți și indirecți.</w:t>
            </w:r>
          </w:p>
          <w:p>
            <w:pPr>
              <w:spacing w:line="360" w:lineRule="auto"/>
              <w:ind w:left="0" w:right="0" w:firstLine="493"/>
            </w:pPr>
            <w:r>
              <w:rPr>
                <w:rFonts w:ascii="Cambria" w:hAnsi="Cambria"/>
                <w:b w:val="false"/>
                <w:sz w:val="24"/>
                <w:lang w:val="fr"/>
              </w:rPr>
              <w:t>Se vor verifica documentele care conțin informații care susțin acest criteriu: Cererea de finanțare,  </w:t>
            </w:r>
            <w:r>
              <w:rPr>
                <w:rFonts w:ascii="Cambria" w:hAnsi="Cambria"/>
                <w:b w:val="false"/>
                <w:color w:val="000000"/>
                <w:sz w:val="24"/>
              </w:rPr>
              <w:t>Memoriul justificativ/Studiul de fezabilitate/DALI.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 mai redusă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Au prioritate pentru proiectele cu termen mai scurt de finalizare.</w:t>
            </w:r>
          </w:p>
          <w:p>
            <w:pPr>
              <w:spacing w:line="360" w:lineRule="auto"/>
              <w:ind w:left="0" w:right="0" w:firstLine="493"/>
            </w:pPr>
            <w:r>
              <w:rPr>
                <w:rFonts w:ascii="Cambria" w:hAnsi="Cambria"/>
                <w:b w:val="false"/>
                <w:sz w:val="24"/>
              </w:rPr>
              <w:t>Se vor verifica estimările din cererea de finantare.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Gradul de inovare al proiectului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prioritizează proiectele care au un grad de inovare mai mare și aduc plus valoare teritoriului.</w:t>
            </w:r>
          </w:p>
          <w:p>
            <w:pPr>
              <w:spacing w:line="360" w:lineRule="auto"/>
              <w:ind w:left="0" w:right="0" w:firstLine="493"/>
            </w:pPr>
            <w:r>
              <w:rPr>
                <w:rFonts w:ascii="Cambria" w:hAnsi="Cambria"/>
                <w:b w:val="false"/>
                <w:sz w:val="24"/>
              </w:rPr>
              <w:t>Se vor verifica  </w:t>
            </w:r>
            <w:r>
              <w:rPr>
                <w:rFonts w:ascii="Cambria" w:hAnsi="Cambria"/>
                <w:b w:val="false"/>
                <w:sz w:val="24"/>
                <w:lang w:val="fr"/>
              </w:rPr>
              <w:t>documentele care conțin informații care susțin acest criteriu: Cererea de finanțare,  </w:t>
            </w:r>
            <w:r>
              <w:rPr>
                <w:rFonts w:ascii="Cambria" w:hAnsi="Cambria"/>
                <w:b w:val="false"/>
                <w:color w:val="000000"/>
                <w:sz w:val="24"/>
              </w:rPr>
              <w:t>Memoriul justificativ/Studiul de fezabilitate/DALI, a</w:t>
            </w:r>
            <w:r>
              <w:rPr>
                <w:rFonts w:ascii="Cambria" w:hAnsi="Cambria"/>
                <w:b w:val="false"/>
                <w:color w:val="000000"/>
                <w:sz w:val="24"/>
              </w:rPr>
              <w:t>lte documente relevante.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multiLevelType w:val="hybridMultilevel"/>
    <w:name w:val="decima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2"/>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028bb0aa11fc4dfc" /><Relationship Type="http://schemas.openxmlformats.org/officeDocument/2006/relationships/numbering" Target="/word/numbering.xml" Id="R1dcd0ed9774b413a" /></Relationships>
</file>