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fb51a52e07914310"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193</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Asociaţia Grupul de Acţiune Locală (GAL) Valea Siretului de Sus</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VSS 3 - Sprijinirea tinerilor antreprenori din teritoriul GAL</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Reprezentantul legal al beneficiarului trebuie să fie femeie (indiferent de vârstă) și/sau tânăr până în 30 de ani.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În cadrul acestei măsuri se incurajeaza înfiintarea în mediul rural de afaceri de către tineri cu vârsta de până în 30 de ani și femei (indiferent de vârstă).</w:t>
            </w:r>
          </w:p>
          <w:p>
            <w:pPr>
              <w:spacing w:line="360" w:lineRule="auto"/>
              <w:ind w:left="0" w:right="0" w:firstLine="493"/>
            </w:pPr>
            <w:r>
              <w:rPr>
                <w:rFonts w:ascii="Cambria" w:hAnsi="Cambria"/>
                <w:b w:val="false"/>
                <w:sz w:val="24"/>
                <w:lang w:val="ro"/>
              </w:rPr>
              <w:t>Este eligibil proiectul al cărui solicitant are, la momentul depunerii cererii de finanțare, un reprezentant legal care se încadrează în cel puțin una dintre următoarele categorii:</w:t>
            </w:r>
          </w:p>
          <w:p>
            <w:pPr>
              <w:pStyle w:val="ListParagraph"/>
              <w:numPr>
                <w:ilvl w:val="0"/>
                <w:numId w:val="2"/>
              </w:numPr>
            </w:pPr>
            <w:r>
              <w:rPr>
                <w:rFonts w:ascii="Cambria" w:hAnsi="Cambria"/>
                <w:b w:val="false"/>
                <w:sz w:val="24"/>
                <w:lang w:val="ro"/>
              </w:rPr>
              <w:t>Femeie, indiferent de vârstă;</w:t>
            </w:r>
          </w:p>
          <w:p>
            <w:pPr>
              <w:pStyle w:val="ListParagraph"/>
              <w:numPr>
                <w:ilvl w:val="0"/>
                <w:numId w:val="2"/>
              </w:numPr>
            </w:pPr>
            <w:r>
              <w:rPr>
                <w:rFonts w:ascii="Cambria" w:hAnsi="Cambria"/>
                <w:b w:val="false"/>
                <w:sz w:val="24"/>
                <w:lang w:val="ro"/>
              </w:rPr>
              <w:t>Tânăr, cu vârsta cuprinsă între 18 și 30 de ani împliniți, la data depunerii cererii.</w:t>
            </w:r>
          </w:p>
          <w:p>
            <w:pPr>
              <w:spacing w:line="360" w:lineRule="auto"/>
              <w:ind w:left="0" w:right="0" w:firstLine="493"/>
            </w:pPr>
            <w:r>
              <w:rPr>
                <w:rFonts w:ascii="Cambria" w:hAnsi="Cambria"/>
                <w:b w:val="false"/>
                <w:sz w:val="24"/>
                <w:lang w:val="ro"/>
              </w:rPr>
              <w:t>Solicitantul va anexa, după caz, următoarele documente justificative:</w:t>
            </w:r>
          </w:p>
          <w:p>
            <w:pPr>
              <w:pStyle w:val="ListParagraph"/>
              <w:numPr>
                <w:ilvl w:val="0"/>
                <w:numId w:val="3"/>
              </w:numPr>
            </w:pPr>
            <w:r>
              <w:rPr>
                <w:rFonts w:ascii="Cambria" w:hAnsi="Cambria"/>
                <w:b w:val="false"/>
                <w:sz w:val="24"/>
              </w:rPr>
              <w:t>Actul de identitate al reprezentantului legal – pentru verificarea sexului și/sau vârstei;</w:t>
            </w:r>
          </w:p>
          <w:p>
            <w:pPr>
              <w:pStyle w:val="ListParagraph"/>
              <w:numPr>
                <w:ilvl w:val="0"/>
                <w:numId w:val="3"/>
              </w:numPr>
            </w:pPr>
            <w:r>
              <w:rPr>
                <w:rFonts w:ascii="Cambria" w:hAnsi="Cambria"/>
                <w:b w:val="false"/>
                <w:sz w:val="24"/>
                <w:lang w:val="ro"/>
              </w:rPr>
              <w:t>Act constitutiv/Hotărâre AGA (dacă este cazul) – pentru confirmarea calității de reprezentant legal;</w:t>
            </w:r>
          </w:p>
          <w:p>
            <w:pPr>
              <w:pStyle w:val="ListParagraph"/>
              <w:numPr>
                <w:ilvl w:val="0"/>
                <w:numId w:val="3"/>
              </w:numPr>
            </w:pPr>
            <w:r>
              <w:rPr>
                <w:rFonts w:ascii="Cambria" w:hAnsi="Cambria"/>
                <w:b w:val="false"/>
                <w:sz w:val="24"/>
                <w:lang w:val="ro"/>
              </w:rPr>
              <w:t>Certificat constatator care atestă calitatea de asociat/acționar majoritar.</w:t>
            </w:r>
          </w:p>
          <w:p>
            <w:pPr>
              <w:spacing w:line="360" w:lineRule="auto"/>
              <w:ind w:left="0" w:right="0" w:firstLine="493"/>
            </w:pPr>
            <w:r>
              <w:rPr>
                <w:rFonts w:ascii="Cambria" w:hAnsi="Cambria"/>
                <w:b w:val="false"/>
                <w:sz w:val="24"/>
                <w:lang w:val="ro"/>
              </w:rPr>
              <w:t>Neîncadrarea în cel puțin una dintre categoriile menționate conduce la respingerea proiectului în etapa de verificare a eligibilității administrative.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Crearea minim a unui loc de muncă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va verifica Planul de afaceri.</w:t>
            </w:r>
          </w:p>
          <w:p>
            <w:pPr>
              <w:spacing w:line="360" w:lineRule="auto"/>
              <w:ind w:left="0" w:right="0" w:firstLine="493"/>
            </w:pPr>
            <w:r>
              <w:rPr>
                <w:rFonts w:ascii="Cambria" w:hAnsi="Cambria"/>
                <w:b w:val="false"/>
                <w:sz w:val="24"/>
              </w:rPr>
              <w:t>Este eligibil proiectul care are prevăzut în cadrul Planului de afaceri angajarea a cel puțin unei persoane cu contract individual de muncă de cel puțin 4 ore/zi.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Solicitantul trebuie să prezinte un plan de afaceri viabil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trebuie să prevadă minimum trei și maximum 10 obiective specifice, iar ponderea aferentă fiecărui obiectiv să fie de minimum 10%, aceasta fiind stabilită în funcție de importanța actiunilor/investitiilor propuse prin proiect pentru realizarea obiectivului general propus. Suma procentelor tuturor obiectivelor specifice trebuie să fie 100%.</w:t>
            </w:r>
          </w:p>
          <w:p>
            <w:pPr>
              <w:spacing w:line="360" w:lineRule="auto"/>
              <w:ind w:left="0" w:right="0" w:firstLine="493"/>
            </w:pPr>
            <w:r>
              <w:rPr>
                <w:rFonts w:ascii="Cambria" w:hAnsi="Cambria"/>
                <w:b w:val="false"/>
                <w:sz w:val="24"/>
                <w:lang w:val="ro"/>
              </w:rPr>
              <w:t>Solicitantul își va descrie obiectivele specifice, stabilind acțiunile pentru atingerea acestora și procentele aferente, în funcție de importanța acestora la realizarea obiectivului general propus prin proiect.</w:t>
            </w:r>
          </w:p>
          <w:p>
            <w:pPr>
              <w:spacing w:line="360" w:lineRule="auto"/>
              <w:ind w:left="0" w:right="0" w:firstLine="493"/>
            </w:pPr>
            <w:r>
              <w:rPr>
                <w:rFonts w:ascii="Cambria" w:hAnsi="Cambria"/>
                <w:b w:val="false"/>
                <w:sz w:val="24"/>
                <w:lang w:val="ro"/>
              </w:rPr>
              <w:t>Consultanța, obținerea avizelor/autorizațiilor sau întocmirea documentației obligatorii conform legii (ex: PT) NU pot fi obiective specifice, ci numai acțiuni în cadrul unui obiectiv specific.</w:t>
            </w:r>
          </w:p>
          <w:p>
            <w:pPr>
              <w:spacing w:line="360" w:lineRule="auto"/>
              <w:ind w:left="0" w:right="0" w:firstLine="493"/>
            </w:pPr>
            <w:r>
              <w:rPr>
                <w:rFonts w:ascii="Cambria" w:hAnsi="Cambria"/>
                <w:b w:val="false"/>
                <w:sz w:val="24"/>
                <w:lang w:val="ro"/>
              </w:rPr>
              <w:t>Prin acțiunile propuse în Planul de afaceri trebuie să se asigure fezabilitatea proiectului și continuitatea activității după încetarea acordării sprijinului, pe toată perioada de execuție și monitorizare a proiectului.</w:t>
            </w:r>
          </w:p>
          <w:p>
            <w:pPr>
              <w:spacing w:line="360" w:lineRule="auto"/>
              <w:ind w:left="0" w:right="0" w:firstLine="493"/>
            </w:pPr>
            <w:r>
              <w:rPr>
                <w:rFonts w:ascii="Cambria" w:hAnsi="Cambria"/>
                <w:b w:val="false"/>
                <w:sz w:val="24"/>
                <w:lang w:val="ro"/>
              </w:rPr>
              <w:t>–    </w:t>
            </w:r>
            <w:r>
              <w:rPr>
                <w:rFonts w:ascii="Cambria" w:hAnsi="Cambria"/>
                <w:b w:val="false"/>
                <w:sz w:val="24"/>
                <w:lang w:val="ro"/>
              </w:rPr>
              <w:t>În cazul nerealizării obiectivelor specifice propuse, AFIR va proceda la recuperarea unei sume proporțional cu ponderea aferentă obiectivului/obiectivelor nerealizate raportat la întreaga valoare a sprijinului.</w:t>
            </w:r>
            <w:r>
              <w:rPr>
                <w:rFonts w:ascii="Cambria" w:hAnsi="Cambria"/>
                <w:b w:val="false"/>
                <w:sz w:val="24"/>
                <w:lang w:val="ro"/>
              </w:rPr>
              <w:t> Dacă la momentul solicitării tranșei a doua se constată îndeplinirea parțială a obiectivelor asumate, tranșa a doua de plată se diminuează cu un cuantum aferent procentului nerealizat. În cazul în care cea de-a doua tranșă de plată nu acoperă întreaga valoare care trebuie recuperată, diferența constituie debit și se recuperează din prima tranșă de plată acordată.</w:t>
            </w:r>
          </w:p>
          <w:p>
            <w:pPr>
              <w:spacing w:line="360" w:lineRule="auto"/>
              <w:ind w:left="0" w:right="0" w:firstLine="493"/>
            </w:pPr>
            <w:r>
              <w:rPr>
                <w:rFonts w:ascii="Cambria" w:hAnsi="Cambria"/>
                <w:b w:val="false"/>
                <w:sz w:val="24"/>
                <w:lang w:val="ro"/>
              </w:rPr>
              <w:t>–   Pentru micro-întrepriderile și întreprinderile mici existente nu este permisă finanțarea prin Intervenția DR 36-LEADER pentru proiecte start-up neagricol a unor activități complementare activităţilor neagricole desfăşurate de solicitant. Prin activitate complementară se înțelege activitatea care se desfăşoară în scopul completării/dezvoltării/optimizării activităţii principale sau activității de bază a solicitantului (pentru care are codurile CAEN autorizate și a desfășurat activitate economică anterior depunerii proiectului).</w:t>
            </w:r>
          </w:p>
          <w:p>
            <w:pPr>
              <w:spacing w:line="360" w:lineRule="auto"/>
              <w:ind w:left="0" w:right="0" w:firstLine="493"/>
            </w:pPr>
            <w:r>
              <w:rPr>
                <w:rFonts w:ascii="Cambria" w:hAnsi="Cambria"/>
                <w:b w:val="false"/>
                <w:sz w:val="24"/>
                <w:lang w:val="ro"/>
              </w:rPr>
              <w:t>Solicitantul poate propune prin PA realizarea de activități noi,</w:t>
            </w:r>
            <w:r>
              <w:rPr>
                <w:rFonts w:ascii="Cambria" w:hAnsi="Cambria"/>
                <w:b w:val="false"/>
                <w:sz w:val="24"/>
                <w:lang w:val="ro"/>
              </w:rPr>
              <w:t> pe care nu le-a mai desfășurat până la depunerea Cererii de finanțare.</w:t>
            </w:r>
          </w:p>
          <w:p>
            <w:pPr>
              <w:spacing w:line="360" w:lineRule="auto"/>
              <w:ind w:left="0" w:right="0" w:firstLine="493"/>
            </w:pPr>
            <w:r>
              <w:rPr>
                <w:rFonts w:ascii="Cambria" w:hAnsi="Cambria"/>
                <w:b w:val="false"/>
                <w:sz w:val="24"/>
                <w:lang w:val="ro"/>
              </w:rPr>
              <w:t>Solicitantul poate propune realizarea de activități aferente unui cod CAEN până la maximum 5 (cinci) coduri CAEN</w:t>
            </w:r>
            <w:r>
              <w:rPr>
                <w:rFonts w:ascii="Cambria" w:hAnsi="Cambria"/>
                <w:b w:val="false"/>
                <w:sz w:val="24"/>
                <w:lang w:val="ro"/>
              </w:rPr>
              <w:t>,  </w:t>
            </w:r>
            <w:r>
              <w:rPr>
                <w:rFonts w:ascii="Cambria" w:hAnsi="Cambria"/>
                <w:b w:val="false"/>
                <w:sz w:val="24"/>
                <w:lang w:val="ro"/>
              </w:rPr>
              <w:t>în situația în care aceste activități se completează, dezvoltă sau se optimizează reciproc.</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Sediul social si/sau punctul de lucru unde se realizeaza investitia trebuie sa se afle pe teritoriul GAL Valea Siretului de Sus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Pentru a fi considerată eligibilă, investiția propusă trebuie să fie realizată în teritoriul acoperit de GAL Valea Siretului de Sus.</w:t>
            </w:r>
          </w:p>
          <w:p>
            <w:pPr>
              <w:spacing w:line="360" w:lineRule="auto"/>
              <w:ind w:left="0" w:right="0" w:firstLine="493"/>
            </w:pPr>
            <w:r>
              <w:rPr>
                <w:rFonts w:ascii="Cambria" w:hAnsi="Cambria"/>
                <w:b w:val="false"/>
                <w:sz w:val="24"/>
              </w:rPr>
              <w:t>Aceasta presupune că îndeplinește cumulativ următoarele 2 condiții:</w:t>
            </w:r>
          </w:p>
          <w:p>
            <w:pPr>
              <w:spacing w:line="360" w:lineRule="auto"/>
              <w:ind w:left="0" w:right="0" w:firstLine="493"/>
            </w:pPr>
            <w:r>
              <w:rPr>
                <w:rFonts w:ascii="Cambria" w:hAnsi="Cambria"/>
                <w:b w:val="false"/>
                <w:sz w:val="24"/>
              </w:rPr>
              <w:t>- sediul social al beneficiarului trebuie, în mod obligatoriu, să se situeze în limitele administrative ale unităților teritoriale componente ale GAL Valea Siretului de Sus.</w:t>
            </w:r>
          </w:p>
          <w:p>
            <w:pPr>
              <w:spacing w:line="360" w:lineRule="auto"/>
              <w:ind w:left="0" w:right="0" w:firstLine="493"/>
            </w:pPr>
            <w:r>
              <w:rPr>
                <w:rFonts w:ascii="Cambria" w:hAnsi="Cambria"/>
                <w:b w:val="false"/>
                <w:sz w:val="24"/>
              </w:rPr>
              <w:t>- punctul de lucru pentru care se solicită finanțare trebuie, în mod obligatoriu, să se situeze în limitele administrative ale unităților teritoriale componente ale GAL Valea Siretului de Sus.</w:t>
            </w:r>
          </w:p>
          <w:p>
            <w:pPr>
              <w:spacing w:line="360" w:lineRule="auto"/>
              <w:ind w:left="0" w:right="0" w:firstLine="493"/>
            </w:pPr>
            <w:r>
              <w:rPr>
                <w:rFonts w:ascii="Cambria" w:hAnsi="Cambria"/>
                <w:b w:val="false"/>
                <w:sz w:val="24"/>
              </w:rPr>
              <w:t>Se vor consulta documentele emise de ONRC pentru a verifica dacă sediul social si/sau punctul de lucru unde se realizeaza investitia se află în teritoriul GAL Valea Siretului de Sus.</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Principiul prioritizării sectoarelor de activitate propuse prin proiect: servicii, activități turistice, activități de producție, activități meșteșugărești.</w:t>
            </w:r>
          </w:p>
        </w:tc>
        <w:tc>
          <w:tcPr>
            <w:shd w:val="clear" w:color="auto" w:fill="CCE1DB"/>
            <w:vAlign w:val="center"/>
          </w:tcPr>
          <w:p>
            <w:pPr>
              <w:spacing w:line="360" w:lineRule="auto"/>
              <w:ind w:left="0" w:right="0" w:firstLine="493"/>
            </w:pPr>
            <w:r>
              <w:rPr>
                <w:rFonts w:ascii="Cambria Bold" w:hAnsi="Cambria Bold"/>
                <w:b/>
                <w:color w:val="014935"/>
                <w:sz w:val="24"/>
              </w:rPr>
              <w:t>Max.40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1.1</w:t>
            </w:r>
          </w:p>
        </w:tc>
        <w:tc>
          <w:tcPr>
            <w:shd w:val="clear" w:color="auto" w:fill="F8ECD2"/>
            <w:vAlign w:val="center"/>
          </w:tcPr>
          <w:p>
            <w:r>
              <w:rPr>
                <w:rFonts w:ascii="Cambria" w:hAnsi="Cambria"/>
                <w:b w:val="false"/>
                <w:color w:val="58400C"/>
                <w:sz w:val="24"/>
              </w:rPr>
              <w:t>Activități turistice (ex: servicii agroturistice de cazare, servicii turistice de agrement și alimentație publică). </w:t>
            </w:r>
          </w:p>
        </w:tc>
        <w:tc>
          <w:tcPr>
            <w:vAlign w:val="center"/>
          </w:tcPr>
          <w:p>
            <w:pPr>
              <w:keepNext/>
              <w:jc w:val="center"/>
            </w:pPr>
            <w:r>
              <w:rPr>
                <w:rFonts w:ascii="Cambria" w:hAnsi="Cambria"/>
                <w:b w:val="false"/>
                <w:sz w:val="24"/>
              </w:rPr>
              <w:t>40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va/vor verifica codul/codurile CAEN propuse de către solicitant în planul de afaceri și în cererea de finanțare.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1.2</w:t>
            </w:r>
          </w:p>
        </w:tc>
        <w:tc>
          <w:tcPr>
            <w:shd w:val="clear" w:color="auto" w:fill="F8ECD2"/>
            <w:vAlign w:val="center"/>
          </w:tcPr>
          <w:p>
            <w:r>
              <w:rPr>
                <w:rFonts w:ascii="Cambria" w:hAnsi="Cambria"/>
                <w:b w:val="false"/>
                <w:color w:val="58400C"/>
                <w:sz w:val="24"/>
              </w:rPr>
              <w:t>Activități de producție, conform codurilor CAEN din Anexa 13 - Lista Codurilor CAEN aferente activitatilor neagricole eligibile la finantare în cadrul Interventiei DR 36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va/vor verifica codul/codurile CAEN propuse de către solicitant în planul de afaceri și în cererea de finanțare.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1.3</w:t>
            </w:r>
          </w:p>
        </w:tc>
        <w:tc>
          <w:tcPr>
            <w:shd w:val="clear" w:color="auto" w:fill="F8ECD2"/>
            <w:vAlign w:val="center"/>
          </w:tcPr>
          <w:p>
            <w:r>
              <w:rPr>
                <w:rFonts w:ascii="Cambria" w:hAnsi="Cambria"/>
                <w:b w:val="false"/>
                <w:color w:val="58400C"/>
                <w:sz w:val="24"/>
              </w:rPr>
              <w:t>Servicii (ex: medicale, sanitar-veterinare; reparații mașini, unelte, obiecte casnice; consultanță, contabilitate, juridice, audit; servicii în tehnologia informației și servicii informatice; servicii tehnice, administrative, alte servicii destinate populației din spațiul rural  etc).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va/vor verifica codul/codurile CAEN propuse de către solicitant în planul de afaceri și în cererea de finanțare.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1.4</w:t>
            </w:r>
          </w:p>
        </w:tc>
        <w:tc>
          <w:tcPr>
            <w:shd w:val="clear" w:color="auto" w:fill="F8ECD2"/>
            <w:vAlign w:val="center"/>
          </w:tcPr>
          <w:p>
            <w:r>
              <w:rPr>
                <w:rFonts w:ascii="Cambria" w:hAnsi="Cambria"/>
                <w:b w:val="false"/>
                <w:color w:val="58400C"/>
                <w:sz w:val="24"/>
              </w:rPr>
              <w:t>Activități meșteșugărești (ex: activități de artizanat și alte activități tradiționale non-agricole (ex: olărit, brodat, prelucrarea manuală a fierului, lânii, lemnului, pielii etc.)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va/vor verifica codul/codurile CAEN propuse de către solicitant în planul de afaceri și în cererea de finanțare.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Principiul prioritizării proiectelor care propun investiții în tehnologii performante și în digitalizarea activității propuse în proiect.</w:t>
            </w:r>
          </w:p>
        </w:tc>
        <w:tc>
          <w:tcPr>
            <w:shd w:val="clear" w:color="auto" w:fill="CCE1DB"/>
            <w:vAlign w:val="center"/>
          </w:tcPr>
          <w:p>
            <w:pPr>
              <w:spacing w:line="360" w:lineRule="auto"/>
              <w:ind w:left="0" w:right="0" w:firstLine="493"/>
            </w:pPr>
            <w:r>
              <w:rPr>
                <w:rFonts w:ascii="Cambria Bold" w:hAnsi="Cambria Bold"/>
                <w:b/>
                <w:color w:val="014935"/>
                <w:sz w:val="24"/>
              </w:rPr>
              <w:t>Max.30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2.1</w:t>
            </w:r>
          </w:p>
        </w:tc>
        <w:tc>
          <w:tcPr>
            <w:shd w:val="clear" w:color="auto" w:fill="F8ECD2"/>
            <w:vAlign w:val="center"/>
          </w:tcPr>
          <w:p>
            <w:pPr>
              <w:spacing w:line="360" w:lineRule="auto"/>
              <w:ind w:left="0" w:right="0" w:firstLine="493"/>
            </w:pPr>
            <w:r>
              <w:rPr>
                <w:rFonts w:ascii="Cambria" w:hAnsi="Cambria"/>
                <w:b w:val="false"/>
                <w:color w:val="58400C"/>
                <w:sz w:val="24"/>
              </w:rPr>
              <w:t>Gradul de integrare a tehnologiilor performante în activitatea propusă</w:t>
            </w:r>
          </w:p>
          <w:p>
            <w:pPr>
              <w:spacing w:line="360" w:lineRule="auto"/>
              <w:ind w:left="0" w:right="0" w:firstLine="493"/>
            </w:pPr>
            <w:r>
              <w:rPr>
                <w:rFonts w:ascii="Cambria" w:hAnsi="Cambria"/>
                <w:b w:val="false"/>
                <w:color w:val="58400C"/>
                <w:sz w:val="24"/>
              </w:rPr>
              <w:t>Se vor acorda 15 puncte pentru proiectele care propun tehnologii avansate și inovative, esențiale pentru activitate (ex: AI, IoT, robotizare, automatizare avansată).</w:t>
            </w:r>
          </w:p>
          <w:p>
            <w:pPr>
              <w:spacing w:line="360" w:lineRule="auto"/>
              <w:ind w:left="0" w:right="0" w:firstLine="493"/>
            </w:pPr>
            <w:r>
              <w:rPr>
                <w:rFonts w:ascii="Cambria" w:hAnsi="Cambria"/>
                <w:b w:val="false"/>
                <w:color w:val="58400C"/>
                <w:sz w:val="24"/>
              </w:rPr>
              <w:t>Se vor acorda 10 puncte pentru proiectele care propun tehnologii digitale uzuale, dar cu impact semnificativ (ex: software de gestiune, ERP, CRM).</w:t>
            </w:r>
          </w:p>
          <w:p>
            <w:r>
              <w:rPr>
                <w:rFonts w:ascii="Cambria" w:hAnsi="Cambria"/>
                <w:b w:val="false"/>
                <w:color w:val="58400C"/>
                <w:sz w:val="24"/>
              </w:rPr>
              <w:t> </w:t>
            </w:r>
          </w:p>
        </w:tc>
        <w:tc>
          <w:tcPr>
            <w:vAlign w:val="center"/>
          </w:tcPr>
          <w:p>
            <w:pPr>
              <w:keepNext/>
              <w:jc w:val="center"/>
            </w:pPr>
            <w:r>
              <w:rPr>
                <w:rFonts w:ascii="Cambria" w:hAnsi="Cambria"/>
                <w:b w:val="false"/>
                <w:sz w:val="24"/>
              </w:rPr>
              <w:t>Max.15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analizează descrierea tehnologiilor propuse, specificațiile tehnice și relevanța lor pentru activitatea proiectului. Se verifică documentația tehnică, ofertele sau fișele tehnice anexate.</w:t>
            </w:r>
          </w:p>
          <w:p>
            <w:pPr>
              <w:spacing w:line="360" w:lineRule="auto"/>
              <w:ind w:left="0" w:right="0" w:firstLine="493"/>
            </w:pPr>
            <w:r>
              <w:rPr>
                <w:rFonts w:ascii="Cambria" w:hAnsi="Cambria"/>
                <w:b w:val="false"/>
                <w:sz w:val="24"/>
              </w:rPr>
              <w:t>Proiectul detaliază clar tehnologiile utilizate, cu impact direct și relevant asupra eficienței/competitivității.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2.2</w:t>
            </w:r>
          </w:p>
        </w:tc>
        <w:tc>
          <w:tcPr>
            <w:shd w:val="clear" w:color="auto" w:fill="F8ECD2"/>
            <w:vAlign w:val="center"/>
          </w:tcPr>
          <w:p>
            <w:pPr>
              <w:spacing w:line="360" w:lineRule="auto"/>
              <w:ind w:left="0" w:right="0" w:firstLine="493"/>
            </w:pPr>
            <w:r>
              <w:rPr>
                <w:rFonts w:ascii="Cambria" w:hAnsi="Cambria"/>
                <w:b w:val="false"/>
                <w:color w:val="58400C"/>
                <w:sz w:val="24"/>
              </w:rPr>
              <w:t>Gradul de digitalizare a proceselor operaționale și administrative</w:t>
            </w:r>
          </w:p>
          <w:p>
            <w:pPr>
              <w:spacing w:line="360" w:lineRule="auto"/>
              <w:ind w:left="0" w:right="0" w:firstLine="493"/>
            </w:pPr>
            <w:r>
              <w:rPr>
                <w:rFonts w:ascii="Cambria" w:hAnsi="Cambria"/>
                <w:b w:val="false"/>
                <w:color w:val="58400C"/>
                <w:sz w:val="24"/>
              </w:rPr>
              <w:t>Se vor acorda 15 puncte pentru proiectele care propun digitalizarea completă a proceselor (ex: management complet digital, facturare, comunicare, vânzări online). Proiectul demonstrează utilizarea pe scară largă a soluțiilor digitale în toate procesele.</w:t>
            </w:r>
          </w:p>
          <w:p>
            <w:pPr>
              <w:spacing w:line="360" w:lineRule="auto"/>
              <w:ind w:left="0" w:right="0" w:firstLine="493"/>
            </w:pPr>
            <w:r>
              <w:rPr>
                <w:rFonts w:ascii="Cambria" w:hAnsi="Cambria"/>
                <w:b w:val="false"/>
                <w:color w:val="58400C"/>
                <w:sz w:val="24"/>
              </w:rPr>
              <w:t>Se vor acorda 10 puncte pentru proiectele care propun digitalizare parțială a proceselor (ex: doar vânzări sau doar gestiune). Proiectul propune digitalizarea unor procese, dar nu în totalitate.</w:t>
            </w:r>
          </w:p>
          <w:p>
            <w:r>
              <w:rPr>
                <w:rFonts w:ascii="Cambria" w:hAnsi="Cambria"/>
                <w:b w:val="false"/>
                <w:color w:val="58400C"/>
                <w:sz w:val="24"/>
              </w:rPr>
              <w:t> </w:t>
            </w:r>
          </w:p>
        </w:tc>
        <w:tc>
          <w:tcPr>
            <w:vAlign w:val="center"/>
          </w:tcPr>
          <w:p>
            <w:pPr>
              <w:keepNext/>
              <w:jc w:val="center"/>
            </w:pPr>
            <w:r>
              <w:rPr>
                <w:rFonts w:ascii="Cambria" w:hAnsi="Cambria"/>
                <w:b w:val="false"/>
                <w:sz w:val="24"/>
              </w:rPr>
              <w:t>Max.15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verifică descrierea proceselor digitale propuse, aplicațiile și softurile utilizate, planurile de implementare, precum și eventuale parteneriate cu furnizori IT.</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Principiul experienței reprezentantului legal de proiect în domeniul de activitate propus.</w:t>
            </w:r>
          </w:p>
        </w:tc>
        <w:tc>
          <w:tcPr>
            <w:shd w:val="clear" w:color="auto" w:fill="CCE1DB"/>
            <w:vAlign w:val="center"/>
          </w:tcPr>
          <w:p>
            <w:pPr>
              <w:spacing w:line="360" w:lineRule="auto"/>
              <w:ind w:left="0" w:right="0" w:firstLine="493"/>
            </w:pPr>
            <w:r>
              <w:rPr>
                <w:rFonts w:ascii="Cambria Bold" w:hAnsi="Cambria Bold"/>
                <w:b/>
                <w:color w:val="014935"/>
                <w:sz w:val="24"/>
              </w:rPr>
              <w:t>Max.30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3.1</w:t>
            </w:r>
          </w:p>
        </w:tc>
        <w:tc>
          <w:tcPr>
            <w:shd w:val="clear" w:color="auto" w:fill="F8ECD2"/>
            <w:vAlign w:val="center"/>
          </w:tcPr>
          <w:p>
            <w:r>
              <w:rPr>
                <w:rFonts w:ascii="Cambria" w:hAnsi="Cambria"/>
                <w:b w:val="false"/>
                <w:color w:val="58400C"/>
                <w:sz w:val="24"/>
              </w:rPr>
              <w:t>Reprezentatul legal este calificat în domeniul de activitate propus prin proiect dovedită prin diplomă de licență, master, doctorat.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va verifica dacă reprezentatul legal are calificare în domeniu - studii formale (ex: diplomă de licență, master, doctorat) în domeniul proiectului.</w:t>
            </w:r>
          </w:p>
          <w:p>
            <w:pPr>
              <w:spacing w:line="360" w:lineRule="auto"/>
              <w:ind w:left="0" w:right="0" w:firstLine="493"/>
            </w:pPr>
            <w:r>
              <w:rPr>
                <w:rFonts w:ascii="Cambria" w:hAnsi="Cambria"/>
                <w:b w:val="false"/>
                <w:sz w:val="24"/>
              </w:rPr>
              <w:t>Documente de verificat:</w:t>
            </w:r>
          </w:p>
          <w:p>
            <w:pPr>
              <w:pStyle w:val="ListParagraph"/>
              <w:numPr>
                <w:ilvl w:val="0"/>
                <w:numId w:val="2"/>
              </w:numPr>
            </w:pPr>
            <w:r>
              <w:rPr>
                <w:rFonts w:ascii="Cambria" w:hAnsi="Cambria"/>
                <w:b w:val="false"/>
                <w:sz w:val="24"/>
              </w:rPr>
              <w:t>Diplome de studii relevante</w:t>
            </w:r>
            <w:r>
              <w:rPr>
                <w:rFonts w:ascii="Cambria" w:hAnsi="Cambria"/>
                <w:b w:val="false"/>
                <w:sz w:val="24"/>
              </w:rPr>
              <w:t>  (licență, master, doctorat) – copie conformă cu originalul.</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3.2</w:t>
            </w:r>
          </w:p>
        </w:tc>
        <w:tc>
          <w:tcPr>
            <w:shd w:val="clear" w:color="auto" w:fill="F8ECD2"/>
            <w:vAlign w:val="center"/>
          </w:tcPr>
          <w:p>
            <w:r>
              <w:rPr>
                <w:rFonts w:ascii="Cambria" w:hAnsi="Cambria"/>
                <w:b w:val="false"/>
                <w:color w:val="58400C"/>
                <w:sz w:val="24"/>
              </w:rPr>
              <w:t>Reprezentantul legal al beneficiarului a desfășurat activitate în domeniul propus prin proiect dovedită prin certificat de absolvire a cursurilor de formare. </w:t>
            </w:r>
          </w:p>
        </w:tc>
        <w:tc>
          <w:tcPr>
            <w:vAlign w:val="center"/>
          </w:tcPr>
          <w:p>
            <w:pPr>
              <w:keepNext/>
              <w:jc w:val="center"/>
            </w:pPr>
            <w:r>
              <w:rPr>
                <w:rFonts w:ascii="Cambria" w:hAnsi="Cambria"/>
                <w:b w:val="false"/>
                <w:sz w:val="24"/>
              </w:rPr>
              <w:t>5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va verifica dacă reprezentatul legal are calificare în domeniu -  cursuri de formare profesională sau certificări relevante în domeniul proiectului.</w:t>
            </w:r>
          </w:p>
          <w:p>
            <w:pPr>
              <w:spacing w:line="360" w:lineRule="auto"/>
              <w:ind w:left="0" w:right="0" w:firstLine="493"/>
            </w:pPr>
            <w:r>
              <w:rPr>
                <w:rFonts w:ascii="Cambria" w:hAnsi="Cambria"/>
                <w:b w:val="false"/>
                <w:sz w:val="24"/>
              </w:rPr>
              <w:t>Documente de verificat:</w:t>
            </w:r>
          </w:p>
          <w:p>
            <w:pPr>
              <w:pStyle w:val="ListParagraph"/>
              <w:numPr>
                <w:ilvl w:val="0"/>
                <w:numId w:val="2"/>
              </w:numPr>
            </w:pPr>
            <w:r>
              <w:rPr>
                <w:rFonts w:ascii="Cambria" w:hAnsi="Cambria"/>
                <w:b w:val="false"/>
                <w:sz w:val="24"/>
              </w:rPr>
              <w:t>Certificat de absolvire curs formare profesională</w:t>
            </w:r>
            <w:r>
              <w:rPr>
                <w:rFonts w:ascii="Cambria" w:hAnsi="Cambria"/>
                <w:b w:val="false"/>
                <w:sz w:val="24"/>
              </w:rPr>
              <w:t>  – pentru cursuri acreditate în domeniu.</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3.3</w:t>
            </w:r>
          </w:p>
        </w:tc>
        <w:tc>
          <w:tcPr>
            <w:shd w:val="clear" w:color="auto" w:fill="F8ECD2"/>
            <w:vAlign w:val="center"/>
          </w:tcPr>
          <w:p>
            <w:pPr>
              <w:spacing w:line="360" w:lineRule="auto"/>
              <w:ind w:left="0" w:right="0" w:firstLine="493"/>
            </w:pPr>
            <w:r>
              <w:rPr>
                <w:rFonts w:ascii="Cambria" w:hAnsi="Cambria"/>
                <w:b w:val="false"/>
                <w:color w:val="58400C"/>
                <w:sz w:val="24"/>
              </w:rPr>
              <w:t>Reprezentantul legal al beneficiarului a desfășurat activitate în domeniul propus prin proiect.</w:t>
            </w:r>
          </w:p>
          <w:p>
            <w:pPr>
              <w:spacing w:line="360" w:lineRule="auto"/>
              <w:ind w:left="0" w:right="0" w:firstLine="493"/>
            </w:pPr>
            <w:r>
              <w:rPr>
                <w:rFonts w:ascii="Cambria" w:hAnsi="Cambria"/>
                <w:b w:val="false"/>
                <w:color w:val="58400C"/>
                <w:sz w:val="24"/>
              </w:rPr>
              <w:t>Se vor acorda 15 puncte pentru reprezentanții legali care demonstrează o experiență profesională de peste 3 ani.</w:t>
            </w:r>
          </w:p>
          <w:p>
            <w:pPr>
              <w:spacing w:line="360" w:lineRule="auto"/>
              <w:ind w:left="0" w:right="0" w:firstLine="493"/>
            </w:pPr>
            <w:r>
              <w:rPr>
                <w:rFonts w:ascii="Cambria" w:hAnsi="Cambria"/>
                <w:b w:val="false"/>
                <w:color w:val="58400C"/>
                <w:sz w:val="24"/>
              </w:rPr>
              <w:t>Se vor acorda 10 puncte pentru reprezentanții legali care demonstrează o experiență profesională între 1 și 3 ani.</w:t>
            </w:r>
          </w:p>
          <w:p>
            <w:pPr>
              <w:spacing w:line="360" w:lineRule="auto"/>
              <w:ind w:left="0" w:right="0" w:firstLine="493"/>
            </w:pPr>
            <w:r>
              <w:rPr>
                <w:rFonts w:ascii="Cambria" w:hAnsi="Cambria"/>
                <w:b w:val="false"/>
                <w:color w:val="58400C"/>
                <w:sz w:val="24"/>
              </w:rPr>
              <w:t>Se vor acorda 5 puncte pentru reprezentanții legali care demonstrează o experiență profesională între 1 lună și 1 an.</w:t>
            </w:r>
          </w:p>
          <w:p>
            <w:r>
              <w:rPr>
                <w:rFonts w:ascii="Cambria" w:hAnsi="Cambria"/>
                <w:b w:val="false"/>
                <w:color w:val="58400C"/>
                <w:sz w:val="24"/>
              </w:rPr>
              <w:t> </w:t>
            </w:r>
          </w:p>
        </w:tc>
        <w:tc>
          <w:tcPr>
            <w:vAlign w:val="center"/>
          </w:tcPr>
          <w:p>
            <w:pPr>
              <w:keepNext/>
              <w:jc w:val="center"/>
            </w:pPr>
            <w:r>
              <w:rPr>
                <w:rFonts w:ascii="Cambria" w:hAnsi="Cambria"/>
                <w:b w:val="false"/>
                <w:sz w:val="24"/>
              </w:rPr>
              <w:t>Max.15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va verifica daca reprezentul legal are experiență profesională în domeniul proiectului.</w:t>
            </w:r>
          </w:p>
          <w:p>
            <w:pPr>
              <w:spacing w:line="360" w:lineRule="auto"/>
              <w:ind w:left="0" w:right="0" w:firstLine="493"/>
            </w:pPr>
            <w:r>
              <w:rPr>
                <w:rFonts w:ascii="Cambria" w:hAnsi="Cambria"/>
                <w:b w:val="false"/>
                <w:sz w:val="24"/>
              </w:rPr>
              <w:t>Documente de verificat:</w:t>
            </w:r>
          </w:p>
          <w:p>
            <w:pPr>
              <w:pStyle w:val="ListParagraph"/>
              <w:numPr>
                <w:ilvl w:val="0"/>
                <w:numId w:val="2"/>
              </w:numPr>
            </w:pPr>
            <w:r>
              <w:rPr>
                <w:rFonts w:ascii="Cambria" w:hAnsi="Cambria"/>
                <w:b w:val="false"/>
                <w:sz w:val="24"/>
              </w:rPr>
              <w:t>contracte de muncă,</w:t>
            </w:r>
          </w:p>
          <w:p>
            <w:pPr>
              <w:pStyle w:val="ListParagraph"/>
              <w:numPr>
                <w:ilvl w:val="0"/>
                <w:numId w:val="2"/>
              </w:numPr>
            </w:pPr>
            <w:r>
              <w:rPr>
                <w:rFonts w:ascii="Cambria" w:hAnsi="Cambria"/>
                <w:b w:val="false"/>
                <w:sz w:val="24"/>
              </w:rPr>
              <w:t>extras Revisal etc.</w:t>
            </w:r>
          </w:p>
          <w:p>
            <w:pPr>
              <w:spacing w:line="360" w:lineRule="auto"/>
              <w:ind w:left="0" w:right="0" w:firstLine="493"/>
            </w:pPr>
            <w:r>
              <w:rPr>
                <w:rFonts w:ascii="Cambria Bold" w:hAnsi="Cambria Bold"/>
                <w:b/>
                <w:sz w:val="24"/>
                <w:u w:val="single"/>
              </w:rPr>
              <w:t>Atenție!</w:t>
            </w:r>
          </w:p>
          <w:p>
            <w:pPr>
              <w:spacing w:line="360" w:lineRule="auto"/>
              <w:ind w:left="0" w:right="0" w:firstLine="493"/>
            </w:pPr>
            <w:r>
              <w:rPr>
                <w:rFonts w:ascii="Cambria Bold" w:hAnsi="Cambria Bold"/>
                <w:b/>
                <w:sz w:val="24"/>
              </w:rPr>
              <w:t>Punctajul maxim la criteriile de selecție este 100 puncte.</w:t>
            </w:r>
          </w:p>
          <w:p>
            <w:pPr>
              <w:spacing w:line="360" w:lineRule="auto"/>
              <w:ind w:left="0" w:right="0" w:firstLine="493"/>
            </w:pPr>
            <w:r>
              <w:rPr>
                <w:rFonts w:ascii="Cambria Bold" w:hAnsi="Cambria Bold"/>
                <w:b/>
                <w:sz w:val="24"/>
              </w:rPr>
              <w:t>Pragul minim de punctaj admis pentru fiecare proiect este de 25 puncte și reprezintă pragul sub care niciun proiect nu poate intra la finanțare.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1.</w:t>
            </w:r>
          </w:p>
        </w:tc>
        <w:tc>
          <w:tcPr>
            <w:shd w:val="clear" w:color="auto" w:fill="F8ECD2"/>
            <w:vAlign w:val="center"/>
          </w:tcPr>
          <w:p>
            <w:r>
              <w:rPr>
                <w:rFonts w:ascii="Cambria" w:hAnsi="Cambria"/>
                <w:b w:val="false"/>
                <w:color w:val="58400C"/>
                <w:sz w:val="24"/>
              </w:rPr>
              <w:t>Solicitantul va fi departajat în funcție de diploma de studii deținută în domeniul proiectului.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Vor avea prioritate solicitanții care vor avea studiile cele mai avansate.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2.</w:t>
            </w:r>
          </w:p>
        </w:tc>
        <w:tc>
          <w:tcPr>
            <w:shd w:val="clear" w:color="auto" w:fill="F8ECD2"/>
            <w:vAlign w:val="center"/>
          </w:tcPr>
          <w:p>
            <w:r>
              <w:rPr>
                <w:rFonts w:ascii="Cambria" w:hAnsi="Cambria"/>
                <w:b w:val="false"/>
                <w:color w:val="58400C"/>
                <w:sz w:val="24"/>
              </w:rPr>
              <w:t>Solicitantul va fi departajat în funcție de durata cursurilor de formare.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Vor avea prioritate solicitanții care vor prezenta certificate, diplome de participare cu durata cea mai lungă.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3.</w:t>
            </w:r>
          </w:p>
        </w:tc>
        <w:tc>
          <w:tcPr>
            <w:shd w:val="clear" w:color="auto" w:fill="F8ECD2"/>
            <w:vAlign w:val="center"/>
          </w:tcPr>
          <w:p>
            <w:r>
              <w:rPr>
                <w:rFonts w:ascii="Cambria" w:hAnsi="Cambria"/>
                <w:b w:val="false"/>
                <w:color w:val="58400C"/>
                <w:sz w:val="24"/>
              </w:rPr>
              <w:t>Solicitantul va fi departajat în funcție de experiența în domeniul proiectului.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Vor avea prioritate solicitanții care demonstrează cea mai lungă perioadă de activitate în domeniul proiectului.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4.</w:t>
            </w:r>
          </w:p>
        </w:tc>
        <w:tc>
          <w:tcPr>
            <w:shd w:val="clear" w:color="auto" w:fill="F8ECD2"/>
            <w:vAlign w:val="center"/>
          </w:tcPr>
          <w:p>
            <w:r>
              <w:rPr>
                <w:rFonts w:ascii="Cambria" w:hAnsi="Cambria"/>
                <w:b w:val="false"/>
                <w:color w:val="58400C"/>
                <w:sz w:val="24"/>
              </w:rPr>
              <w:t>Durata de implementare mai redusă.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Vor avea prioritate proiectele care propun durată de implementare mai redusă.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5.</w:t>
            </w:r>
          </w:p>
        </w:tc>
        <w:tc>
          <w:tcPr>
            <w:shd w:val="clear" w:color="auto" w:fill="F8ECD2"/>
            <w:vAlign w:val="center"/>
          </w:tcPr>
          <w:p>
            <w:r>
              <w:rPr>
                <w:rFonts w:ascii="Cambria" w:hAnsi="Cambria"/>
                <w:b w:val="false"/>
                <w:color w:val="58400C"/>
                <w:sz w:val="24"/>
              </w:rPr>
              <w:t>Valoarea contribuției proprii.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Pentru proiectele în care solicitantul își propune, conform bugetului din planul de afaceri, să vină și cu contribuție proprie (sprijinul este nerambursabil 100%, contribuția proprie nefiind obligatorie), vor avea prioritate proiectele în care solicitantul propune o valoare mai ridicată a contribuției proprii.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6.</w:t>
            </w:r>
          </w:p>
        </w:tc>
        <w:tc>
          <w:tcPr>
            <w:shd w:val="clear" w:color="auto" w:fill="F8ECD2"/>
            <w:vAlign w:val="center"/>
          </w:tcPr>
          <w:p>
            <w:r>
              <w:rPr>
                <w:rFonts w:ascii="Cambria" w:hAnsi="Cambria"/>
                <w:b w:val="false"/>
                <w:color w:val="58400C"/>
                <w:sz w:val="24"/>
              </w:rPr>
              <w:t>Tipologia obiectivului de investiții.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Vor fi prioritizate proiectele care propun dotări.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 w:numId="3">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37a328a1ad8b41e8" /><Relationship Type="http://schemas.openxmlformats.org/officeDocument/2006/relationships/numbering" Target="/word/numbering.xml" Id="Rb0e6ee31acc047ae" /></Relationships>
</file>