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officeDocument" Target="/word/document.xml" Id="Rab595464d7ae4b75" /></Relationships>
</file>

<file path=word/document.xml><?xml version="1.0" encoding="utf-8"?>
<w:document xmlns:w="http://schemas.openxmlformats.org/wordprocessingml/2006/main">
  <w:body>
    <w:p>
      <w:pPr>
        <w:spacing w:line="360" w:lineRule="auto"/>
        <w:jc w:val="right"/>
      </w:pPr>
      <w:r>
        <w:rPr>
          <w:rFonts w:ascii="Cambria Bold" w:hAnsi="Cambria Bold"/>
          <w:b/>
          <w:sz w:val="24"/>
        </w:rPr>
        <w:t>Anexa nr. 15</w:t>
      </w:r>
    </w:p>
    <w:p>
      <w:pPr>
        <w:spacing w:line="360" w:lineRule="auto"/>
      </w:pPr>
      <w:r>
        <w:rPr>
          <w:rFonts w:ascii="Cambria Bold Italic" w:hAnsi="Cambria Bold Italic"/>
          <w:b/>
          <w:i/>
          <w:sz w:val="29"/>
        </w:rPr>
        <w:t>F1 - Fișa de verificare a criteriilor de eligibilitate și de selecție locale</w:t>
      </w:r>
    </w:p>
    <w:p>
      <w:pPr>
        <w:spacing w:line="60" w:lineRule="auto"/>
        <w:ind w:left="0" w:right="0" w:firstLine="493"/>
      </w:pPr>
      <w:r>
        <w:rPr>
          <w:rFonts w:ascii="Cambria" w:hAnsi="Cambria"/>
          <w:b w:val="false"/>
          <w:sz w:val="24"/>
        </w:rPr>
        <w:t> </w:t>
      </w:r>
    </w:p>
    <w:p>
      <w:pPr>
        <w:spacing w:line="264" w:lineRule="auto"/>
      </w:pPr>
      <w:r>
        <w:rPr>
          <w:rFonts w:ascii="Cambria" w:hAnsi="Cambria"/>
          <w:b w:val="false"/>
          <w:sz w:val="24"/>
        </w:rPr>
        <w:t>Nr. autorizație GAL</w:t>
      </w:r>
      <w:r>
        <w:rPr>
          <w:rFonts w:ascii="Cambria" w:hAnsi="Cambria"/>
          <w:b w:val="false"/>
          <w:sz w:val="24"/>
        </w:rPr>
        <w:t>   </w:t>
      </w:r>
      <w:r>
        <w:rPr>
          <w:rFonts w:ascii="Cambria Bold" w:hAnsi="Cambria Bold"/>
          <w:b/>
          <w:sz w:val="24"/>
        </w:rPr>
        <w:t>193</w:t>
      </w:r>
    </w:p>
    <w:p>
      <w:pPr>
        <w:spacing w:line="264" w:lineRule="auto"/>
      </w:pPr>
      <w:r>
        <w:rPr>
          <w:rFonts w:ascii="Cambria" w:hAnsi="Cambria"/>
          <w:b w:val="false"/>
          <w:sz w:val="24"/>
        </w:rPr>
        <w:t>Denumire parteneriat/GAL</w:t>
      </w:r>
      <w:r>
        <w:rPr>
          <w:rFonts w:ascii="Cambria" w:hAnsi="Cambria"/>
          <w:b w:val="false"/>
          <w:sz w:val="24"/>
        </w:rPr>
        <w:t>   </w:t>
      </w:r>
      <w:r>
        <w:rPr>
          <w:rFonts w:ascii="Cambria Bold" w:hAnsi="Cambria Bold"/>
          <w:b/>
          <w:sz w:val="24"/>
        </w:rPr>
        <w:t>Asociaţia Grupul de Acţiune Locală (GAL) Valea Siretului de Sus</w:t>
      </w:r>
    </w:p>
    <w:p>
      <w:pPr>
        <w:spacing w:line="264" w:lineRule="auto"/>
      </w:pPr>
      <w:r>
        <w:rPr>
          <w:rFonts w:ascii="Cambria" w:hAnsi="Cambria"/>
          <w:b w:val="false"/>
          <w:sz w:val="24"/>
        </w:rPr>
        <w:t>Denumire intervenție</w:t>
      </w:r>
      <w:r>
        <w:rPr>
          <w:rFonts w:ascii="Cambria" w:hAnsi="Cambria"/>
          <w:b w:val="false"/>
          <w:sz w:val="24"/>
        </w:rPr>
        <w:t>   </w:t>
      </w:r>
      <w:r>
        <w:rPr>
          <w:rFonts w:ascii="Cambria Bold" w:hAnsi="Cambria Bold"/>
          <w:b/>
          <w:sz w:val="24"/>
        </w:rPr>
        <w:t>VSS 2 - Împreună pentru un mediu sustenabil în teritoriul GAL</w:t>
      </w:r>
    </w:p>
    <w:p>
      <w:pPr>
        <w:spacing w:line="264" w:lineRule="auto"/>
      </w:pPr>
      <w:r>
        <w:rPr>
          <w:rFonts w:ascii="Cambria" w:hAnsi="Cambria"/>
          <w:b w:val="false"/>
          <w:sz w:val="24"/>
        </w:rPr>
        <w:t>Data de lansare a sesiunii</w:t>
      </w:r>
      <w:r>
        <w:rPr>
          <w:rFonts w:ascii="Cambria" w:hAnsi="Cambria"/>
          <w:b w:val="false"/>
          <w:sz w:val="24"/>
        </w:rPr>
        <w:t>   </w:t>
      </w:r>
      <w:r>
        <w:rPr>
          <w:rFonts w:ascii="Cambria" w:hAnsi="Cambria"/>
          <w:b w:val="false"/>
          <w:color w:val="8F8F8F"/>
          <w:sz w:val="24"/>
        </w:rPr>
        <w:t>_ _ _ _ _ _ _ _ _ _ _ _ _ _ _ _ _ _ _ _ _ _ _ _ _ _ _ _ _ _ _ _ _ _</w:t>
      </w:r>
    </w:p>
    <w:p>
      <w:pPr>
        <w:spacing w:line="264" w:lineRule="auto"/>
      </w:pPr>
      <w:r>
        <w:rPr>
          <w:rFonts w:ascii="Cambria" w:hAnsi="Cambria"/>
          <w:b w:val="false"/>
          <w:sz w:val="24"/>
        </w:rPr>
        <w:t>Denumirea proiectului</w:t>
      </w:r>
      <w:r>
        <w:rPr>
          <w:rFonts w:ascii="Cambria" w:hAnsi="Cambria"/>
          <w:b w:val="false"/>
          <w:sz w:val="24"/>
        </w:rPr>
        <w:t>   </w:t>
      </w:r>
      <w:r>
        <w:rPr>
          <w:rFonts w:ascii="Cambria" w:hAnsi="Cambria"/>
          <w:b w:val="false"/>
          <w:color w:val="8F8F8F"/>
          <w:sz w:val="24"/>
        </w:rPr>
        <w:t>_ _ _ _ _ _ _ _ _ _ _ _ _ _ _ _ _ _ _ _ _ _ _ _ _ _ _ _ _ _ _ _ _ _ _ _</w:t>
      </w:r>
    </w:p>
    <w:p>
      <w:pPr>
        <w:spacing w:line="264" w:lineRule="auto"/>
      </w:pPr>
      <w:r>
        <w:rPr>
          <w:rFonts w:ascii="Cambria" w:hAnsi="Cambria"/>
          <w:b w:val="false"/>
          <w:sz w:val="24"/>
        </w:rPr>
        <w:t>Solicitantul</w:t>
      </w:r>
      <w:r>
        <w:rPr>
          <w:rFonts w:ascii="Cambria" w:hAnsi="Cambria"/>
          <w:b w:val="false"/>
          <w:sz w:val="24"/>
        </w:rPr>
        <w:t>   </w:t>
      </w:r>
      <w:r>
        <w:rPr>
          <w:rFonts w:ascii="Cambria" w:hAnsi="Cambria"/>
          <w:b w:val="false"/>
          <w:color w:val="8F8F8F"/>
          <w:sz w:val="24"/>
        </w:rPr>
        <w:t>_ _ _ _ _ _ _ _ _ _ _ _ _ _ _ _ _ _ _ _ _ _ _ _ _ _ _ _ _ _ _ _ _ _ _ _ _ _ _ _ _ _ _ _</w:t>
      </w:r>
    </w:p>
    <w:p>
      <w:pPr>
        <w:spacing w:line="264" w:lineRule="auto"/>
      </w:pPr>
      <w:r>
        <w:rPr>
          <w:rFonts w:ascii="Cambria" w:hAnsi="Cambria"/>
          <w:b w:val="false"/>
          <w:sz w:val="24"/>
        </w:rPr>
        <w:t>Data depunerii proiectului</w:t>
      </w:r>
      <w:r>
        <w:rPr>
          <w:rFonts w:ascii="Cambria" w:hAnsi="Cambria"/>
          <w:b w:val="false"/>
          <w:sz w:val="24"/>
        </w:rPr>
        <w:t>   </w:t>
      </w:r>
      <w:r>
        <w:rPr>
          <w:rFonts w:ascii="Cambria" w:hAnsi="Cambria"/>
          <w:b w:val="false"/>
          <w:color w:val="8F8F8F"/>
          <w:sz w:val="24"/>
        </w:rPr>
        <w:t>_ _ _ _ _ _ _ _ _ _ _ _ _ _ _ _ _ _ _ _ _ _ _ _ _ _ _ _ _ _ _ _ _</w:t>
      </w:r>
    </w:p>
    <w:p>
      <w:pPr>
        <w:spacing w:line="264" w:lineRule="auto"/>
      </w:pPr>
      <w:r>
        <w:rPr>
          <w:rFonts w:ascii="Cambria" w:hAnsi="Cambria"/>
          <w:b w:val="false"/>
          <w:sz w:val="24"/>
        </w:rPr>
        <w:t>Valoarea publică nerambursabilă a proiectului</w:t>
      </w:r>
      <w:r>
        <w:rPr>
          <w:rFonts w:ascii="Cambria" w:hAnsi="Cambria"/>
          <w:b w:val="false"/>
          <w:sz w:val="24"/>
        </w:rPr>
        <w:t>   </w:t>
      </w:r>
      <w:r>
        <w:rPr>
          <w:rFonts w:ascii="Cambria" w:hAnsi="Cambria"/>
          <w:b w:val="false"/>
          <w:color w:val="8F8F8F"/>
          <w:sz w:val="24"/>
        </w:rPr>
        <w:t>_ _ _ _ _ _ _ _ _ _ _ _ _ _ _ _ _ _ _</w:t>
      </w:r>
    </w:p>
    <w:p>
      <w:pPr>
        <w:spacing w:line="264" w:lineRule="auto"/>
      </w:pPr>
      <w:r>
        <w:rPr>
          <w:rFonts w:ascii="Cambria" w:hAnsi="Cambria"/>
          <w:b w:val="false"/>
          <w:sz w:val="24"/>
        </w:rPr>
        <w:t>Valoarea totală a proiectului</w:t>
      </w:r>
      <w:r>
        <w:rPr>
          <w:rFonts w:ascii="Cambria" w:hAnsi="Cambria"/>
          <w:b w:val="false"/>
          <w:sz w:val="24"/>
        </w:rPr>
        <w:t>   </w:t>
      </w:r>
      <w:r>
        <w:rPr>
          <w:rFonts w:ascii="Cambria" w:hAnsi="Cambria"/>
          <w:b w:val="false"/>
          <w:color w:val="8F8F8F"/>
          <w:sz w:val="24"/>
        </w:rPr>
        <w:t>_ _ _ _ _ _ _ _ _ _ _ _ _ _ _ _ _ _ _ _ _ _ _ _ _ _ _ _ _ _ _ _</w:t>
      </w:r>
    </w:p>
    <w:p>
      <w:pPr>
        <w:spacing w:line="204" w:lineRule="auto"/>
        <w:ind w:left="0" w:right="0" w:firstLine="493"/>
      </w:pPr>
      <w:r>
        <w:rPr>
          <w:rFonts w:ascii="Cambria" w:hAnsi="Cambria"/>
          <w:b w:val="false"/>
          <w:sz w:val="24"/>
        </w:rPr>
        <w:t> </w:t>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214F7D"/>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750" w:type="pct"/>
            <w:shd w:val="clear" w:color="auto" w:fill="214F7D"/>
            <w:vAlign w:val="center"/>
          </w:tcPr>
          <w:p>
            <w:r>
              <w:rPr>
                <w:rFonts w:ascii="Cambria Bold" w:hAnsi="Cambria Bold"/>
                <w:b/>
                <w:color w:val="FFFFFF"/>
                <w:sz w:val="24"/>
              </w:rPr>
              <w:t>Criteriu de eligibilitate</w:t>
            </w:r>
          </w:p>
        </w:tc>
        <w:tc>
          <w:tcPr>
            <w:tcW w:w="500" w:type="pct"/>
            <w:shd w:val="clear" w:color="auto" w:fill="214F7D"/>
            <w:vAlign w:val="center"/>
          </w:tcPr>
          <w:p>
            <w:pPr>
              <w:keepNext/>
              <w:jc w:val="center"/>
            </w:pPr>
            <w:r>
              <w:rPr>
                <w:rFonts w:ascii="Cambria Bold" w:hAnsi="Cambria Bold"/>
                <w:b/>
                <w:color w:val="FFFFFF"/>
                <w:sz w:val="24"/>
              </w:rPr>
              <w:t>DA</w:t>
            </w:r>
          </w:p>
        </w:tc>
        <w:tc>
          <w:tcPr>
            <w:tcW w:w="500" w:type="pct"/>
            <w:shd w:val="clear" w:color="auto" w:fill="214F7D"/>
            <w:vAlign w:val="center"/>
          </w:tcPr>
          <w:p>
            <w:pPr>
              <w:keepNext/>
              <w:jc w:val="center"/>
            </w:pPr>
            <w:r>
              <w:rPr>
                <w:rFonts w:ascii="Cambria Bold" w:hAnsi="Cambria Bold"/>
                <w:b/>
                <w:color w:val="FFFFFF"/>
                <w:sz w:val="24"/>
              </w:rPr>
              <w:t>NU</w:t>
            </w:r>
          </w:p>
        </w:tc>
        <w:tc>
          <w:tcPr>
            <w:shd w:val="clear" w:color="auto" w:fill="214F7D"/>
            <w:vAlign w:val="center"/>
          </w:tcPr>
          <w:p>
            <w:r>
              <w:rPr>
                <w:rFonts w:ascii="Cambria Bold" w:hAnsi="Cambria Bold"/>
                <w:b/>
                <w:color w:val="FFFFFF"/>
                <w:sz w:val="24"/>
              </w:rPr>
              <w:t>Observații / Justificări</w:t>
            </w:r>
          </w:p>
        </w:tc>
      </w:tr>
      <w:tr>
        <w:trPr>
          <w:trHeight w:val="270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Dacă sunt îndeplinite toate condițiile de mai jos, se va bifa</w:t>
            </w:r>
            <w:r>
              <w:rPr>
                <w:rFonts w:ascii="Cambria Bold" w:hAnsi="Cambria Bold"/>
                <w:b/>
                <w:color w:val="FFFFFF"/>
                <w:sz w:val="24"/>
              </w:rPr>
              <w:t> DA  </w:t>
            </w:r>
            <w:r>
              <w:rPr>
                <w:rFonts w:ascii="Cambria" w:hAnsi="Cambria"/>
                <w:b w:val="false"/>
                <w:color w:val="FFFFFF"/>
                <w:sz w:val="24"/>
              </w:rPr>
              <w:t>în fișa de verificare a criteriilor de eligibilitate. În cazul în care sunt identificate neconcordanțe, se va solicita remedierea situației conform cerințelor din Ghidul Solicitantului. În cazul în care solicitantul nu remediază neconcordanța semnalată, se va bifa </w:t>
            </w:r>
            <w:r>
              <w:rPr>
                <w:rFonts w:ascii="Cambria Bold" w:hAnsi="Cambria Bold"/>
                <w:b/>
                <w:color w:val="FFFFFF"/>
                <w:sz w:val="24"/>
              </w:rPr>
              <w:t> NU  </w:t>
            </w:r>
            <w:r>
              <w:rPr>
                <w:rFonts w:ascii="Cambria" w:hAnsi="Cambria"/>
                <w:b w:val="false"/>
                <w:color w:val="FFFFFF"/>
                <w:sz w:val="24"/>
              </w:rPr>
              <w:t>și se va menționa acest aspect la rubrica, alături de justificarea privind neîndeplinirea criteriului. În cazul în care situația este remediată, la rubrica </w:t>
            </w:r>
            <w:r>
              <w:rPr>
                <w:rFonts w:ascii="Cambria Bold" w:hAnsi="Cambria Bold"/>
                <w:b/>
                <w:color w:val="FFFFFF"/>
                <w:sz w:val="24"/>
              </w:rPr>
              <w:t> Observații  </w:t>
            </w:r>
            <w:r>
              <w:rPr>
                <w:rFonts w:ascii="Cambria" w:hAnsi="Cambria"/>
                <w:b w:val="false"/>
                <w:color w:val="FFFFFF"/>
                <w:sz w:val="24"/>
              </w:rPr>
              <w:t>se va specifica mențiunea </w:t>
            </w:r>
            <w:r>
              <w:rPr>
                <w:rFonts w:ascii="Cambria Bold" w:hAnsi="Cambria Bold"/>
                <w:b/>
                <w:color w:val="FFFFFF"/>
                <w:sz w:val="24"/>
              </w:rPr>
              <w:t> Criteriul este îndeplinit ca urmare a răspunsului la solicitarea de clarificări  </w:t>
            </w:r>
            <w:r>
              <w:rPr>
                <w:rFonts w:ascii="Cambria" w:hAnsi="Cambria"/>
                <w:b w:val="false"/>
                <w:color w:val="FFFFFF"/>
                <w:sz w:val="24"/>
              </w:rPr>
              <w:t>și se va bifa </w:t>
            </w:r>
            <w:r>
              <w:rPr>
                <w:rFonts w:ascii="Cambria Bold" w:hAnsi="Cambria Bold"/>
                <w:b/>
                <w:color w:val="FFFFFF"/>
                <w:sz w:val="24"/>
              </w:rPr>
              <w:t> DA</w:t>
            </w:r>
            <w:r>
              <w:rPr>
                <w:rFonts w:ascii="Cambria" w:hAnsi="Cambria"/>
                <w:b w:val="false"/>
                <w:color w:val="FFFFFF"/>
                <w:sz w:val="24"/>
              </w:rPr>
              <w:t>.</w:t>
            </w:r>
          </w:p>
        </w:tc>
      </w:tr>
      <w:tr>
        <w:trPr>
          <w:trHeight w:val="540" w:hRule="atLeast"/>
        </w:trPr>
        <w:tc>
          <w:tcPr>
            <w:vMerge w:val="restart"/>
            <w:vAlign w:val="center"/>
          </w:tcPr>
          <w:p>
            <w:r>
              <w:rPr>
                <w:rFonts w:ascii="Cambria Bold" w:hAnsi="Cambria Bold"/>
                <w:b/>
                <w:color w:val="1B4167"/>
                <w:sz w:val="24"/>
              </w:rPr>
              <w:t>EG 1</w:t>
            </w:r>
          </w:p>
        </w:tc>
        <w:tc>
          <w:tcPr>
            <w:vAlign w:val="center"/>
          </w:tcPr>
          <w:p>
            <w:r>
              <w:rPr>
                <w:rFonts w:ascii="Cambria Bold" w:hAnsi="Cambria Bold"/>
                <w:b/>
                <w:color w:val="1B4167"/>
                <w:sz w:val="24"/>
              </w:rPr>
              <w:t>Investiția să se realizeze înteritoriul acoperit de GAL ValeaSiretului de Sus.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Pentru a fi considerată eligibilă, investiția propusă trebuie să fie realizată integral în teritoriul acoperit de GAL Valea Siretului de Sus.Aceasta presupune că:- Sediul social și amplasamentul fizic al investiției (terenul, clădirile,infrastructura, utilitățile etc.) trebuie să se situeze în limiteleadministrative ale unităților teritoriale componente ale GAL ValeaSiretului de Sus;- Activitățile derulate în cadrul proiectului trebuie să aibă impactdirect și exclusiv asupra comunităților din acest teritoriu;- Solicitantul trebuie să prezinte documente justificative care atestălocația exactă a investiției (ex.: extras de carte funciară, certificat deurbanism, plan de situație);Nerespectarea acestei condiții va conduce la declararea proiectului caneeligibil.Documente de verificat:- Certificatul de inregistrare fiscala si/sau documentele de infiintare(Statut, act constitutiv, etc.)</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2</w:t>
            </w:r>
          </w:p>
        </w:tc>
        <w:tc>
          <w:tcPr>
            <w:vAlign w:val="center"/>
          </w:tcPr>
          <w:p>
            <w:r>
              <w:rPr>
                <w:rFonts w:ascii="Cambria Bold" w:hAnsi="Cambria Bold"/>
                <w:b/>
                <w:color w:val="1B4167"/>
                <w:sz w:val="24"/>
              </w:rPr>
              <w:t>Solicitantul trebuie să se angajeze că va asigura mentenanța investițieipe o perioadă de minim 3 ani (5 ani pentru proiectele care prevad Constructii+Montaj) de la data ultimei plăţi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Solicitantul are obligația de a se angaja în mod ferm că va asiguraîntreținerea și mentenanța investiției realizate prin proiect, pe o perioadă de minimum 5 ani, începând de la data finalizării ultimei cereri de plată.Calculul termenului se face de la data plății finale a ajutorului financiarnerambursabil (ultima cerere de plată aprobată). Angajamentul se vaexprima în cadrul HCL/HAGA, anexată cererii de finanțare; Nerespectarea acestei obligații poate conduce la recuperarea totală sau parțială a sprijinului financiar acordat.Calculul termenului se face de la data plății finale a ajutorului financiarnerambursabil (ultima cerere de plată aprobată).Angajamentul se va exprima în cadrul HCL/HAGA, anexată cererii definanțare;Nerespectarea acestei obligații poate conduce la recuperarea totală sauparțială a sprijinului financiar acordat.</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3</w:t>
            </w:r>
          </w:p>
        </w:tc>
        <w:tc>
          <w:tcPr>
            <w:vAlign w:val="center"/>
          </w:tcPr>
          <w:p>
            <w:r>
              <w:rPr>
                <w:rFonts w:ascii="Cambria Bold" w:hAnsi="Cambria Bold"/>
                <w:b/>
                <w:color w:val="1B4167"/>
                <w:sz w:val="24"/>
              </w:rPr>
              <w:t>Proiectul propune soluțiitehnice de realizare inovative- includerea în SF/MJ a uneitehnologii inovative, cum ar fi: sisteme de urmărire a soarelui, panouri solare trasnparente, stocare inteligentă a energiei, senzori și Iot pentru monitorizarea performanței, roboți de curățare a panourilor, soluții de integrare arhitecturală a panourilor etc.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Pentru a fi eligibil în cadrul prezentului apel de proiecte, solicitantultrebuie să propună în Studiul de Fezabilitate (SF) și/sau MemoriulJustificativ (MJ) soluții tehnice inovative care să contribuie la creștereaeficienței energetice, optimizarea producției de energie și integrareainteligentă a sistemelor fotovoltaice. Totodata solicitantul își va lua angajamentul ca proiectul sa nu fie generator de venit, energia produsă fiind folosită pentru consumul propriu, fără a deveni prosumator.</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4  </w:t>
            </w:r>
          </w:p>
        </w:tc>
        <w:tc>
          <w:tcPr>
            <w:vAlign w:val="center"/>
          </w:tcPr>
          <w:p>
            <w:r>
              <w:rPr>
                <w:rFonts w:ascii="Cambria Bold" w:hAnsi="Cambria Bold"/>
                <w:b/>
                <w:color w:val="1B4167"/>
                <w:sz w:val="24"/>
              </w:rPr>
              <w:t>Solicitantul proiectului trebuie să se încadreze în categoria beneficiarilor eligibili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Documente verificate - Documentele de înființare ale beneficiarului.Metodologia: Expertul va verifica Document care atestă forma de organizare a solicitantului: - C.I.F, - Actul de înfiinţare şi statutul ADI,- - Încheiere privind înscrierea în RegistrulAsociațiilor și Fundațiilor, rămasădefinitivă/Certificat de înregistrare înRegistrul Asociațiilor și Fundațiilor;- Actul de înfiinţare şi statutul ONG;- Actul de înfiinţare şi/sau statutulașezământului monahal (unitate de cult);Conditiile in care se considera indeplinit criteriul: Dacă verificareadocumentelor confirmă faptul că solicitantul se incadrează în categoria beneficiarilor eligibili se va bifa caseta “da” pentru verificare. În caz contrar, angajatul GAL (expertul cooptat dupa caz) bifează casuţa din coloana NU şi motivează poziţia în rubrica „Observaţii”, criteriul de eligibilitate nefiind îndeplinit.</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5</w:t>
            </w:r>
          </w:p>
        </w:tc>
        <w:tc>
          <w:tcPr>
            <w:vAlign w:val="center"/>
          </w:tcPr>
          <w:p>
            <w:r>
              <w:rPr>
                <w:rFonts w:ascii="Cambria Bold" w:hAnsi="Cambria Bold"/>
                <w:b/>
                <w:color w:val="1B4167"/>
                <w:sz w:val="24"/>
              </w:rPr>
              <w:t>Solicitantul nu trebuie să fie în insolvență în conformitate cu legislația în vigoare.</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Bold" w:hAnsi="Cambria Bold"/>
                <w:b/>
                <w:sz w:val="24"/>
              </w:rPr>
              <w:t>Documente verificate</w:t>
            </w:r>
            <w:r>
              <w:rPr>
                <w:rFonts w:ascii="Cambria" w:hAnsi="Cambria"/>
                <w:b w:val="false"/>
                <w:sz w:val="24"/>
              </w:rPr>
              <w:t> - Buletinul procedurilor de insolvență</w:t>
            </w:r>
            <w:r>
              <w:rPr>
                <w:rFonts w:ascii="Cambria Bold" w:hAnsi="Cambria Bold"/>
                <w:b/>
                <w:sz w:val="24"/>
              </w:rPr>
              <w:t>Metodologia:</w:t>
            </w:r>
            <w:r>
              <w:rPr>
                <w:rFonts w:ascii="Cambria" w:hAnsi="Cambria"/>
                <w:b w:val="false"/>
                <w:sz w:val="24"/>
              </w:rPr>
              <w:t> Expertul va verifica în Buletinul procedurilor de insolvență publicat pe site-ul Ministerului Justiției, dacă solicitantul este în situația deschiderii procedurii de insolvență.</w:t>
            </w:r>
            <w:r>
              <w:rPr>
                <w:rFonts w:ascii="Cambria Bold" w:hAnsi="Cambria Bold"/>
                <w:b/>
                <w:sz w:val="24"/>
              </w:rPr>
              <w:t>Conditiile in care se considera indeplinit criteriul:</w:t>
            </w:r>
            <w:r>
              <w:rPr>
                <w:rFonts w:ascii="Cambria" w:hAnsi="Cambria"/>
                <w:b w:val="false"/>
                <w:sz w:val="24"/>
              </w:rPr>
              <w:t> Dacă verificareadocumentelor confirmă faptul că solicitantul nu este în insolvență se va bifa caseta “da” pentru verificare. În caz contrar, angajatul GAL (expertul cooptat dupa caz) bifează casuţa din coloana NU şi motivează poziţia în rubrica „Observaţii”, criteriul de eligibilitate nefiind îndeplinit.</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6</w:t>
            </w:r>
          </w:p>
        </w:tc>
        <w:tc>
          <w:tcPr>
            <w:vAlign w:val="center"/>
          </w:tcPr>
          <w:p>
            <w:r>
              <w:rPr>
                <w:rFonts w:ascii="Cambria Bold" w:hAnsi="Cambria Bold"/>
                <w:b/>
                <w:color w:val="1B4167"/>
                <w:sz w:val="24"/>
              </w:rPr>
              <w:t>Investiția să se încadreze în cel puțin unul din tipurile de sprijin prevăzute prin măsură</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Bold" w:hAnsi="Cambria Bold"/>
                <w:b/>
                <w:sz w:val="24"/>
              </w:rPr>
              <w:t>Documente verificate</w:t>
            </w:r>
            <w:r>
              <w:rPr>
                <w:rFonts w:ascii="Cambria" w:hAnsi="Cambria"/>
                <w:b w:val="false"/>
                <w:sz w:val="24"/>
              </w:rPr>
              <w:t>: SF/DALI/PT/MJ/CF; Fişa intervenţiei L804,</w:t>
            </w:r>
          </w:p>
          <w:p>
            <w:pPr>
              <w:spacing w:line="360" w:lineRule="auto"/>
              <w:ind w:left="0" w:right="0" w:firstLine="493"/>
            </w:pPr>
            <w:r>
              <w:rPr>
                <w:rFonts w:ascii="Cambria Bold" w:hAnsi="Cambria Bold"/>
                <w:b/>
                <w:sz w:val="24"/>
              </w:rPr>
              <w:t>Metodologia</w:t>
            </w:r>
            <w:r>
              <w:rPr>
                <w:rFonts w:ascii="Cambria" w:hAnsi="Cambria"/>
                <w:b w:val="false"/>
                <w:sz w:val="24"/>
              </w:rPr>
              <w:t>: Se verifică dacă investiția se încadrează în tipul de acțiuni eligibile din fișa intervenției și dacă contribuie la protecția mediului înconjurător/ la durabilitatea mediului și la realizarea obiectivelor de atenuare a schimbărilor climatice și de adaptare la acestea în zonele rurale.</w:t>
            </w:r>
          </w:p>
          <w:p>
            <w:r>
              <w:rPr>
                <w:rFonts w:ascii="Cambria Bold" w:hAnsi="Cambria Bold"/>
                <w:b/>
                <w:sz w:val="24"/>
              </w:rPr>
              <w:t>Conditiile in care se considera indeplinit criteriul</w:t>
            </w:r>
            <w:r>
              <w:rPr>
                <w:rFonts w:ascii="Cambria" w:hAnsi="Cambria"/>
                <w:b w:val="false"/>
                <w:sz w:val="24"/>
              </w:rPr>
              <w:t>: Dacă verificareadocumentelor confirmă faptul că investiția se încadrează în cel puțin unul din tipurile de sprijin prevăzute prin măsură  se va bifa caseta“da”pentruverificare. În caz contrar, angajatul GAL (expertul cooptat dupa caz)bifează casuţa din coloana NU şi motivează poziţia în rubrica„Observaţii”, criteriul de eligibilitate nefiind îndeplinit.</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7</w:t>
            </w:r>
          </w:p>
        </w:tc>
        <w:tc>
          <w:tcPr>
            <w:vAlign w:val="center"/>
          </w:tcPr>
          <w:p>
            <w:r>
              <w:rPr>
                <w:rFonts w:ascii="Cambria Bold" w:hAnsi="Cambria Bold"/>
                <w:b/>
                <w:color w:val="1B4167"/>
                <w:sz w:val="24"/>
              </w:rPr>
              <w:t>Investiția trebuie să fie în corelare cu orice strategie de dezvoltare națională/ regională/județeană/locală aprobată, corespunzătoare domeniului de intervenție.</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Bold" w:hAnsi="Cambria Bold"/>
                <w:b/>
                <w:sz w:val="24"/>
              </w:rPr>
              <w:t>Documente verificate</w:t>
            </w:r>
            <w:r>
              <w:rPr>
                <w:rFonts w:ascii="Cambria" w:hAnsi="Cambria"/>
                <w:b w:val="false"/>
                <w:sz w:val="24"/>
              </w:rPr>
              <w:t>: SF/DALI/PT/MJ/CF; Fişa intervenţiei L804; Cap.6. Obiectivele strategiei, logica intervențiilor și a complementarității și/sau contribuției la obiectivele altor strategii relevante din SDL-GAL; Extrasul din strategia cu care este corelată investiția(anexata la CF conform sectiunea E.1din CF- Alte documente justificative (după caz).</w:t>
            </w:r>
            <w:r>
              <w:rPr>
                <w:rFonts w:ascii="Cambria Bold" w:hAnsi="Cambria Bold"/>
                <w:b/>
                <w:sz w:val="24"/>
              </w:rPr>
              <w:t>Metodologia</w:t>
            </w:r>
            <w:r>
              <w:rPr>
                <w:rFonts w:ascii="Cambria" w:hAnsi="Cambria"/>
                <w:b w:val="false"/>
                <w:sz w:val="24"/>
              </w:rPr>
              <w:t>: Angajatul GAL (expertul cooptat dupa caz) verifică în baza informaţiilor din documentele de mai sus, dacă investiția este în corelare cu orice strategie de dezvoltare naţională/regională/județeană/localăaprobată, corespunzătoare domeniului de investiţii.</w:t>
            </w:r>
            <w:r>
              <w:rPr>
                <w:rFonts w:ascii="Cambria Bold" w:hAnsi="Cambria Bold"/>
                <w:b/>
                <w:sz w:val="24"/>
              </w:rPr>
              <w:t>Conditiile in care se considera indeplinit criteriul</w:t>
            </w:r>
            <w:r>
              <w:rPr>
                <w:rFonts w:ascii="Cambria" w:hAnsi="Cambria"/>
                <w:b w:val="false"/>
                <w:sz w:val="24"/>
              </w:rPr>
              <w:t>: Dacă verificareadocumentelor confirmă faptul că investiția este în corelare cu oricestrategie de dezvoltare naţională/regională/județeană/locală aprobată,corespunzătoare domeniului de investiţii, se va bifa caseta“da”pentruverificare. În caz contrar, angajatul GAL (expertul cooptat dupa caz)bifează casuţa din coloana NU şi motivează poziţia în rubrica„Observaţii”, criteriul de eligibilitate nefiind îndeplinit.</w:t>
            </w:r>
          </w:p>
        </w:tc>
        <w:tc>
          <w:tcPr>
            <w:tcW w:w="0"/>
            <w:vMerge w:val="continue"/>
          </w:tcPr>
          <w:p/>
        </w:tc>
        <w:tc>
          <w:tcPr>
            <w:tcW w:w="0"/>
            <w:vMerge w:val="continue"/>
          </w:tcPr>
          <w:p/>
        </w:tc>
        <w:tc>
          <w:tcPr>
            <w:tcW w:w="0"/>
            <w:vMerge w:val="continue"/>
          </w:tcPr>
          <w:p/>
        </w:tc>
      </w:tr>
      <w:tr>
        <w:trPr/>
        <w:tc>
          <w:tcPr>
            <w:tcW w:w="400" w:type="pct"/>
            <w:shd w:val="clear" w:color="auto" w:fill="214F7D"/>
            <w:vAlign w:val="center"/>
          </w:tcPr>
          <w:p>
            <w:r>
              <w:rPr>
                <w:rFonts w:ascii="Cambria" w:hAnsi="Cambria"/>
                <w:b w:val="false"/>
                <w:color w:val="FFFFFF"/>
                <w:sz w:val="24"/>
              </w:rPr>
              <w:t>EG AFIR</w:t>
            </w:r>
          </w:p>
        </w:tc>
        <w:tc>
          <w:tcPr>
            <w:tcW w:w="1750" w:type="pct"/>
            <w:shd w:val="clear" w:color="auto" w:fill="214F7D"/>
            <w:vAlign w:val="center"/>
          </w:tcPr>
          <w:p>
            <w:r>
              <w:rPr>
                <w:rFonts w:ascii="Cambria Bold" w:hAnsi="Cambria Bold"/>
                <w:b/>
                <w:color w:val="FFFFFF"/>
                <w:sz w:val="24"/>
              </w:rPr>
              <w:t>Proiectul respectă criteriile de eligibilitate generale verificate în baza formularului de verificare specific din procedura AFIR</w:t>
            </w:r>
          </w:p>
        </w:tc>
        <w:tc>
          <w:tcPr>
            <w:shd w:val="clear" w:color="auto" w:fill="214F7D"/>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color w:val="000000"/>
                      <w:sz w:val="21"/>
                    </w:rPr>
                    <w:t> </w:t>
                  </w:r>
                </w:p>
              </w:tc>
            </w:tr>
          </w:tbl>
          <w:p>
            <w:r>
              <w:rPr>
                <w:rFonts w:ascii="Cambria" w:hAnsi="Cambria"/>
                <w:b w:val="false"/>
                <w:sz w:val="24"/>
              </w:rPr>
              <w:t> </w:t>
            </w:r>
          </w:p>
        </w:tc>
        <w:tc>
          <w:tcPr>
            <w:shd w:val="clear" w:color="auto" w:fill="214F7D"/>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color w:val="000000"/>
                      <w:sz w:val="21"/>
                    </w:rPr>
                    <w:t> </w:t>
                  </w:r>
                </w:p>
              </w:tc>
            </w:tr>
          </w:tbl>
          <w:p>
            <w:r>
              <w:rPr>
                <w:rFonts w:ascii="Cambria" w:hAnsi="Cambria"/>
                <w:b w:val="false"/>
                <w:sz w:val="24"/>
              </w:rPr>
              <w:t> </w:t>
            </w:r>
          </w:p>
        </w:tc>
        <w:tc>
          <w:tcPr>
            <w:shd w:val="clear" w:color="auto" w:fill="214F7D"/>
            <w:vAlign w:val="center"/>
          </w:tcP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tbl>
      <w:tblPr>
        <w:tblStyle w:val="TableGrid"/>
        <w:tblW w:w="5000" w:type="pct"/>
        <w:tblBorders>
          <w:top w:val="none"/>
          <w:left w:val="none"/>
          <w:bottom w:val="none"/>
          <w:right w:val="none"/>
          <w:insideH w:val="none"/>
          <w:insideV w:val="none"/>
        </w:tblBorders>
        <w:tblCellMar>
          <w:top w:w="45" w:type="dxa"/>
          <w:left w:w="45" w:type="dxa"/>
          <w:bottom w:w="45" w:type="dxa"/>
          <w:right w:w="45" w:type="dxa"/>
        </w:tblCellMar>
      </w:tblPr>
      <w:tblGrid>
        <w:gridCol/>
        <w:gridCol/>
        <w:gridCol/>
        <w:gridCol/>
      </w:tblGrid>
      <w:tr>
        <w:trPr>
          <w:trHeight w:val="720" w:hRule="atLeast"/>
        </w:trPr>
        <w:tc>
          <w:tcPr>
            <w:tcW w:w="1500" w:type="pct"/>
            <w:vAlign w:val="center"/>
          </w:tcPr>
          <w:p>
            <w:pPr>
              <w:keepNext/>
              <w:jc w:val="right"/>
            </w:pPr>
            <w:r>
              <w:rPr>
                <w:rFonts w:ascii="Cambria Bold" w:hAnsi="Cambria Bold"/>
                <w:b/>
                <w:sz w:val="29"/>
              </w:rPr>
              <w:t>ELIGIBIL</w:t>
            </w:r>
            <w:r>
              <w:rPr>
                <w:rFonts w:ascii="Cambria" w:hAnsi="Cambria"/>
                <w:b w:val="false"/>
                <w:sz w:val="24"/>
              </w:rPr>
              <w:t>  </w:t>
            </w:r>
          </w:p>
        </w:tc>
        <w:tc>
          <w:tcPr>
            <w:tcW w:w="1000" w:type="pct"/>
            <w:vAlign w:val="center"/>
          </w:tcPr>
          <w:tbl>
            <w:tblPr>
              <w:tblStyle w:val="TableGrid"/>
              <w:tblW w:w="450" w:type="dxa"/>
              <w:jc w:val="left"/>
            </w:tblPr>
            <w:tblGrid>
              <w:gridCol/>
            </w:tblGrid>
            <w:tr>
              <w:trPr>
                <w:trHeight w:val="420" w:hRule="atLeast"/>
              </w:trPr>
              <w:tc>
                <w:tcPr>
                  <w:tcW w:w="1000" w:type="pct"/>
                  <w:shd w:val="clear" w:color="auto" w:fill="D4DFE9"/>
                  <w:vAlign w:val="center"/>
                </w:tcPr>
                <w:p>
                  <w:pPr>
                    <w:keepNext/>
                    <w:jc w:val="center"/>
                  </w:pPr>
                  <w:r>
                    <w:rPr>
                      <w:rFonts w:ascii="Cambria" w:hAnsi="Cambria"/>
                      <w:b w:val="false"/>
                      <w:sz w:val="24"/>
                    </w:rPr>
                    <w:t> </w:t>
                  </w:r>
                </w:p>
              </w:tc>
            </w:tr>
          </w:tbl>
          <w:p/>
        </w:tc>
        <w:tc>
          <w:tcPr>
            <w:tcW w:w="1500" w:type="pct"/>
            <w:vAlign w:val="center"/>
          </w:tcPr>
          <w:p>
            <w:pPr>
              <w:keepNext/>
              <w:jc w:val="right"/>
            </w:pPr>
            <w:r>
              <w:rPr>
                <w:rFonts w:ascii="Cambria Bold" w:hAnsi="Cambria Bold"/>
                <w:b/>
                <w:sz w:val="29"/>
              </w:rPr>
              <w:t>NEELIGIBIL</w:t>
            </w:r>
            <w:r>
              <w:rPr>
                <w:rFonts w:ascii="Cambria" w:hAnsi="Cambria"/>
                <w:b w:val="false"/>
                <w:sz w:val="24"/>
              </w:rPr>
              <w:t>  </w:t>
            </w:r>
          </w:p>
        </w:tc>
        <w:tc>
          <w:tcPr>
            <w:tcW w:w="1000" w:type="pct"/>
            <w:vAlign w:val="center"/>
          </w:tcPr>
          <w:tbl>
            <w:tblPr>
              <w:tblStyle w:val="TableGrid"/>
              <w:tblW w:w="450" w:type="dxa"/>
              <w:jc w:val="left"/>
            </w:tblPr>
            <w:tblGrid>
              <w:gridCol/>
            </w:tblGrid>
            <w:tr>
              <w:trPr>
                <w:trHeight w:val="420" w:hRule="atLeast"/>
              </w:trPr>
              <w:tc>
                <w:tcPr>
                  <w:tcW w:w="1000" w:type="pct"/>
                  <w:shd w:val="clear" w:color="auto" w:fill="D4DFE9"/>
                  <w:vAlign w:val="center"/>
                </w:tcPr>
                <w:p>
                  <w:pPr>
                    <w:keepNext/>
                    <w:jc w:val="center"/>
                  </w:pPr>
                  <w:r>
                    <w:rPr>
                      <w:rFonts w:ascii="Cambria" w:hAnsi="Cambria"/>
                      <w:b w:val="false"/>
                      <w:sz w:val="24"/>
                    </w:rPr>
                    <w:t> </w:t>
                  </w:r>
                </w:p>
              </w:tc>
            </w:tr>
          </w:tbl>
          <w:p/>
        </w:tc>
      </w:tr>
    </w:tbl>
    <w:p>
      <w:pPr>
        <w:spacing w:line="360" w:lineRule="auto"/>
        <w:ind w:left="0" w:right="0" w:firstLine="493"/>
      </w:pPr>
      <w:r>
        <w:rPr>
          <w:rFonts w:ascii="Cambria" w:hAnsi="Cambria"/>
          <w:b w:val="false"/>
          <w:sz w:val="24"/>
        </w:rPr>
        <w:br/>
      </w:r>
      <w:r>
        <w:rPr>
          <w:rFonts w:ascii="Cambria" w:hAnsi="Cambria"/>
          <w:b w:val="false"/>
          <w:sz w:val="24"/>
        </w:rPr>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015840"/>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500" w:type="pct"/>
            <w:shd w:val="clear" w:color="auto" w:fill="015840"/>
            <w:vAlign w:val="center"/>
          </w:tcPr>
          <w:p>
            <w:r>
              <w:rPr>
                <w:rFonts w:ascii="Cambria Bold" w:hAnsi="Cambria Bold"/>
                <w:b/>
                <w:color w:val="FFFFFF"/>
                <w:sz w:val="24"/>
              </w:rPr>
              <w:t>Principii și criterii de selecție</w:t>
            </w:r>
          </w:p>
        </w:tc>
        <w:tc>
          <w:tcPr>
            <w:tcW w:w="750" w:type="pct"/>
            <w:shd w:val="clear" w:color="auto" w:fill="015840"/>
            <w:vAlign w:val="center"/>
          </w:tcPr>
          <w:p>
            <w:pPr>
              <w:keepNext/>
              <w:jc w:val="center"/>
            </w:pPr>
            <w:r>
              <w:rPr>
                <w:rFonts w:ascii="Cambria Bold" w:hAnsi="Cambria Bold"/>
                <w:b/>
                <w:color w:val="FFFFFF"/>
                <w:sz w:val="24"/>
              </w:rPr>
              <w:t>Punctaj</w:t>
            </w:r>
            <w:r>
              <w:rPr>
                <w:rFonts w:ascii="Cambria Bold" w:hAnsi="Cambria Bold"/>
                <w:b/>
                <w:color w:val="FFFFFF"/>
                <w:sz w:val="24"/>
              </w:rPr>
              <w:br/>
            </w:r>
            <w:r>
              <w:rPr>
                <w:rFonts w:ascii="Cambria Bold" w:hAnsi="Cambria Bold"/>
                <w:b/>
                <w:color w:val="FFFFFF"/>
                <w:sz w:val="24"/>
              </w:rPr>
              <w:t>maxim</w:t>
            </w:r>
          </w:p>
        </w:tc>
        <w:tc>
          <w:tcPr>
            <w:tcW w:w="750" w:type="pct"/>
            <w:shd w:val="clear" w:color="auto" w:fill="015840"/>
            <w:vAlign w:val="center"/>
          </w:tcPr>
          <w:p>
            <w:pPr>
              <w:keepNext/>
              <w:jc w:val="center"/>
            </w:pPr>
            <w:r>
              <w:rPr>
                <w:rFonts w:ascii="Cambria Bold" w:hAnsi="Cambria Bold"/>
                <w:b/>
                <w:color w:val="FFFFFF"/>
                <w:sz w:val="24"/>
              </w:rPr>
              <w:t>Punctaj</w:t>
            </w:r>
            <w:r>
              <w:rPr>
                <w:rFonts w:ascii="Cambria Bold" w:hAnsi="Cambria Bold"/>
                <w:b/>
                <w:color w:val="FFFFFF"/>
                <w:sz w:val="24"/>
              </w:rPr>
              <w:br/>
            </w:r>
            <w:r>
              <w:rPr>
                <w:rFonts w:ascii="Cambria Bold" w:hAnsi="Cambria Bold"/>
                <w:b/>
                <w:color w:val="FFFFFF"/>
                <w:sz w:val="24"/>
              </w:rPr>
              <w:t>obținut</w:t>
            </w:r>
          </w:p>
        </w:tc>
        <w:tc>
          <w:tcPr>
            <w:shd w:val="clear" w:color="auto" w:fill="015840"/>
            <w:vAlign w:val="center"/>
          </w:tcPr>
          <w:p>
            <w:pPr>
              <w:keepNext/>
              <w:jc w:val="center"/>
            </w:pPr>
            <w:r>
              <w:rPr>
                <w:rFonts w:ascii="Cambria Bold" w:hAnsi="Cambria Bold"/>
                <w:b/>
                <w:color w:val="FFFFFF"/>
                <w:sz w:val="24"/>
              </w:rPr>
              <w:t>Justificare</w:t>
            </w:r>
          </w:p>
        </w:tc>
      </w:tr>
      <w:tr>
        <w:trPr>
          <w:trHeight w:val="45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Pentru fiecare criteriu de selecție este necesară justificarea acordării punctajului</w:t>
            </w:r>
          </w:p>
        </w:tc>
      </w:tr>
      <w:tr>
        <w:trPr>
          <w:trHeight w:val="540" w:hRule="atLeast"/>
        </w:trPr>
        <w:tc>
          <w:tcPr>
            <w:gridSpan w:val="2"/>
            <w:shd w:val="clear" w:color="auto" w:fill="CCE1DB"/>
            <w:vAlign w:val="center"/>
          </w:tcPr>
          <w:p>
            <w:r>
              <w:rPr>
                <w:rFonts w:ascii="Cambria" w:hAnsi="Cambria"/>
                <w:b w:val="false"/>
                <w:color w:val="014935"/>
                <w:sz w:val="24"/>
              </w:rPr>
              <w:t>1</w:t>
            </w:r>
            <w:r>
              <w:rPr>
                <w:rFonts w:ascii="Cambria" w:hAnsi="Cambria"/>
                <w:b w:val="false"/>
                <w:color w:val="014935"/>
                <w:sz w:val="24"/>
              </w:rPr>
              <w:t>   </w:t>
            </w:r>
            <w:r>
              <w:rPr>
                <w:rFonts w:ascii="Cambria Bold" w:hAnsi="Cambria Bold"/>
                <w:b/>
                <w:color w:val="014935"/>
                <w:sz w:val="24"/>
              </w:rPr>
              <w:t>Proiectele care vizează și capacitate de stocare.</w:t>
            </w:r>
          </w:p>
        </w:tc>
        <w:tc>
          <w:tcPr>
            <w:shd w:val="clear" w:color="auto" w:fill="CCE1DB"/>
            <w:vAlign w:val="center"/>
          </w:tcPr>
          <w:p>
            <w:pPr>
              <w:spacing w:line="360" w:lineRule="auto"/>
              <w:ind w:left="0" w:right="0" w:firstLine="493"/>
            </w:pPr>
            <w:r>
              <w:rPr>
                <w:rFonts w:ascii="Cambria Bold" w:hAnsi="Cambria Bold"/>
                <w:b/>
                <w:color w:val="014935"/>
                <w:sz w:val="24"/>
              </w:rPr>
              <w:t>Max.40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CS 1.1 </w:t>
            </w:r>
          </w:p>
        </w:tc>
        <w:tc>
          <w:tcPr>
            <w:shd w:val="clear" w:color="auto" w:fill="F8ECD2"/>
            <w:vAlign w:val="center"/>
          </w:tcPr>
          <w:p>
            <w:r>
              <w:rPr>
                <w:rFonts w:ascii="Cambria" w:hAnsi="Cambria"/>
                <w:b w:val="false"/>
                <w:color w:val="58400C"/>
                <w:sz w:val="24"/>
              </w:rPr>
              <w:t>Sistemul de stocare este optim dimensionat, acoperă în proporție de peste 90% consumul estimat, contribuind la o autonomie energetica ridicata si la maximizarea eficientei energetice a investitiei. </w:t>
            </w:r>
          </w:p>
        </w:tc>
        <w:tc>
          <w:tcPr>
            <w:vAlign w:val="center"/>
          </w:tcPr>
          <w:p>
            <w:pPr>
              <w:keepNext/>
              <w:jc w:val="center"/>
            </w:pPr>
            <w:r>
              <w:rPr>
                <w:rFonts w:ascii="Cambria" w:hAnsi="Cambria"/>
                <w:b w:val="false"/>
                <w:sz w:val="24"/>
              </w:rPr>
              <w:t>40</w:t>
            </w:r>
          </w:p>
        </w:tc>
        <w:tc>
          <w:tcPr>
            <w:vAlign w:val="center"/>
          </w:tcPr>
          <w:p/>
        </w:tc>
        <w:tc>
          <w:tcPr>
            <w:vAlign w:val="center"/>
          </w:tcPr>
          <w:p/>
        </w:tc>
      </w:tr>
      <w:tr>
        <w:trPr/>
        <w:tc>
          <w:tcPr>
            <w:gridSpan w:val="5"/>
            <w:shd w:val="clear" w:color="auto" w:fill="DDDDDD"/>
            <w:vAlign w:val="center"/>
          </w:tcPr>
          <w:p>
            <w:r>
              <w:rPr>
                <w:rFonts w:ascii="Cambria" w:hAnsi="Cambria"/>
                <w:b w:val="false"/>
                <w:sz w:val="24"/>
              </w:rPr>
              <w:t>Se punctează în funcție de capacitatea instalată, estimarea de energie produsă/an și economia de kWh (se pot folosicalcule standard sau valori asumate în proiect).Se va verifica descrierea tehnica a sistemului de stocare (baterii, capacitate totală in kWh), calculul estimativ alconsumului lunar/anual, corelarea dintre capacitatea sistemului fotovoltaic si solutia de stocare.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CS 1.2 </w:t>
            </w:r>
          </w:p>
        </w:tc>
        <w:tc>
          <w:tcPr>
            <w:shd w:val="clear" w:color="auto" w:fill="F8ECD2"/>
            <w:vAlign w:val="center"/>
          </w:tcPr>
          <w:p>
            <w:r>
              <w:rPr>
                <w:rFonts w:ascii="Cambria" w:hAnsi="Cambria"/>
                <w:b w:val="false"/>
                <w:color w:val="58400C"/>
                <w:sz w:val="24"/>
              </w:rPr>
              <w:t>Sistemul de stocare este adecvat, acoperă peste 50% din consumul propriu si reduce dependenta de retea. </w:t>
            </w:r>
          </w:p>
        </w:tc>
        <w:tc>
          <w:tcPr>
            <w:vAlign w:val="center"/>
          </w:tcPr>
          <w:p>
            <w:pPr>
              <w:keepNext/>
              <w:jc w:val="center"/>
            </w:pPr>
            <w:r>
              <w:rPr>
                <w:rFonts w:ascii="Cambria" w:hAnsi="Cambria"/>
                <w:b w:val="false"/>
                <w:sz w:val="24"/>
              </w:rPr>
              <w:t>20</w:t>
            </w:r>
          </w:p>
        </w:tc>
        <w:tc>
          <w:tcPr>
            <w:vAlign w:val="center"/>
          </w:tcPr>
          <w:p/>
        </w:tc>
        <w:tc>
          <w:tcPr>
            <w:vAlign w:val="center"/>
          </w:tcPr>
          <w:p/>
        </w:tc>
      </w:tr>
      <w:tr>
        <w:trPr/>
        <w:tc>
          <w:tcPr>
            <w:gridSpan w:val="5"/>
            <w:shd w:val="clear" w:color="auto" w:fill="DDDDDD"/>
            <w:vAlign w:val="center"/>
          </w:tcPr>
          <w:p>
            <w:r>
              <w:rPr>
                <w:rFonts w:ascii="Cambria" w:hAnsi="Cambria"/>
                <w:b w:val="false"/>
                <w:sz w:val="24"/>
              </w:rPr>
              <w:t>Se punctează în funcție de capacitatea instalată, estimarea de energie produsă/an și economia de kWh (se pot folosicalcule standard sau valori asumate în proiect).Se va verifica descrierea tehnica a sistemului de stocare (baterii, capacitate totală in kWh), calculul estimativ alconsumului lunar/anual, corelarea dintre capacitatea sistemului fotovoltaic si solutia de stocare.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CS 1.3 </w:t>
            </w:r>
          </w:p>
        </w:tc>
        <w:tc>
          <w:tcPr>
            <w:shd w:val="clear" w:color="auto" w:fill="F8ECD2"/>
            <w:vAlign w:val="center"/>
          </w:tcPr>
          <w:p>
            <w:r>
              <w:rPr>
                <w:rFonts w:ascii="Cambria" w:hAnsi="Cambria"/>
                <w:b w:val="false"/>
                <w:color w:val="58400C"/>
                <w:sz w:val="24"/>
              </w:rPr>
              <w:t>Sistemul de stocare acoperă sub 50% fata de capacitatea de productie sau fata de consumul estimat, fara a aduce o contributie semnificativa la autonomia energetica. </w:t>
            </w:r>
          </w:p>
        </w:tc>
        <w:tc>
          <w:tcPr>
            <w:vAlign w:val="center"/>
          </w:tcPr>
          <w:p>
            <w:pPr>
              <w:keepNext/>
              <w:jc w:val="center"/>
            </w:pPr>
            <w:r>
              <w:rPr>
                <w:rFonts w:ascii="Cambria" w:hAnsi="Cambria"/>
                <w:b w:val="false"/>
                <w:sz w:val="24"/>
              </w:rPr>
              <w:t>10</w:t>
            </w:r>
          </w:p>
        </w:tc>
        <w:tc>
          <w:tcPr>
            <w:vAlign w:val="center"/>
          </w:tcPr>
          <w:p/>
        </w:tc>
        <w:tc>
          <w:tcPr>
            <w:vAlign w:val="center"/>
          </w:tcPr>
          <w:p/>
        </w:tc>
      </w:tr>
      <w:tr>
        <w:trPr/>
        <w:tc>
          <w:tcPr>
            <w:gridSpan w:val="5"/>
            <w:shd w:val="clear" w:color="auto" w:fill="DDDDDD"/>
            <w:vAlign w:val="center"/>
          </w:tcPr>
          <w:p>
            <w:r>
              <w:rPr>
                <w:rFonts w:ascii="Cambria" w:hAnsi="Cambria"/>
                <w:b w:val="false"/>
                <w:sz w:val="24"/>
              </w:rPr>
              <w:t>Se punctează în funcție de capacitatea instalată, estimarea de energie produsă/an și economia de kWh (se pot folosicalcule standard sau valori asumate în proiect).Se va verifica descrierea tehnica a sistemului de stocare (baterii, capacitate totală in kWh), calculul estimativ alconsumului lunar/anual, corelarea dintre capacitatea sistemului fotovoltaic si solutia de stocare. </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2</w:t>
            </w:r>
            <w:r>
              <w:rPr>
                <w:rFonts w:ascii="Cambria" w:hAnsi="Cambria"/>
                <w:b w:val="false"/>
                <w:color w:val="014935"/>
                <w:sz w:val="24"/>
              </w:rPr>
              <w:t>   </w:t>
            </w:r>
            <w:r>
              <w:rPr>
                <w:rFonts w:ascii="Cambria Bold" w:hAnsi="Cambria Bold"/>
                <w:b/>
                <w:color w:val="014935"/>
                <w:sz w:val="24"/>
              </w:rPr>
              <w:t>Caracterul inovativ al proiectului și/sau al investiției realizate prin proiect.</w:t>
            </w:r>
          </w:p>
        </w:tc>
        <w:tc>
          <w:tcPr>
            <w:shd w:val="clear" w:color="auto" w:fill="CCE1DB"/>
            <w:vAlign w:val="center"/>
          </w:tcPr>
          <w:p>
            <w:pPr>
              <w:spacing w:line="360" w:lineRule="auto"/>
              <w:ind w:left="0" w:right="0" w:firstLine="493"/>
            </w:pPr>
            <w:r>
              <w:rPr>
                <w:rFonts w:ascii="Cambria Bold" w:hAnsi="Cambria Bold"/>
                <w:b/>
                <w:color w:val="014935"/>
                <w:sz w:val="24"/>
              </w:rPr>
              <w:t>40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CS 2 </w:t>
            </w:r>
          </w:p>
        </w:tc>
        <w:tc>
          <w:tcPr>
            <w:shd w:val="clear" w:color="auto" w:fill="F8ECD2"/>
            <w:vAlign w:val="center"/>
          </w:tcPr>
          <w:p>
            <w:r>
              <w:rPr>
                <w:rFonts w:ascii="Cambria" w:hAnsi="Cambria"/>
                <w:b w:val="false"/>
                <w:color w:val="58400C"/>
                <w:sz w:val="24"/>
              </w:rPr>
              <w:t>Caracterul inovativ al proiectului și/sau al investiției realizate prin proiect. </w:t>
            </w:r>
          </w:p>
        </w:tc>
        <w:tc>
          <w:tcPr>
            <w:vAlign w:val="center"/>
          </w:tcPr>
          <w:p>
            <w:pPr>
              <w:keepNext/>
              <w:jc w:val="center"/>
            </w:pPr>
            <w:r>
              <w:rPr>
                <w:rFonts w:ascii="Cambria" w:hAnsi="Cambria"/>
                <w:b w:val="false"/>
                <w:sz w:val="24"/>
              </w:rPr>
              <w:t>40</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Proiectul integreaza mai multe elemente inovative, cum ar fi: sisteme de urmarire solara (tracking), panouri</w:t>
            </w:r>
          </w:p>
          <w:p>
            <w:pPr>
              <w:spacing w:line="360" w:lineRule="auto"/>
              <w:ind w:left="0" w:right="0" w:firstLine="493"/>
            </w:pPr>
            <w:r>
              <w:rPr>
                <w:rFonts w:ascii="Cambria" w:hAnsi="Cambria"/>
                <w:b w:val="false"/>
                <w:sz w:val="24"/>
              </w:rPr>
              <w:t>transparente, integrare arhitecturala, solutii loT, roboti de curatare, sisteme inteligente de monitorizare a consumului si</w:t>
            </w:r>
          </w:p>
          <w:p>
            <w:pPr>
              <w:spacing w:line="360" w:lineRule="auto"/>
              <w:ind w:left="0" w:right="0" w:firstLine="493"/>
            </w:pPr>
            <w:r>
              <w:rPr>
                <w:rFonts w:ascii="Cambria" w:hAnsi="Cambria"/>
                <w:b w:val="false"/>
                <w:sz w:val="24"/>
              </w:rPr>
              <w:t>productie (cu aplicatii mobile sau software) etc. Este importanta si justificarea beneficiilor concrete(ex. cresterea eficientei,</w:t>
            </w:r>
          </w:p>
          <w:p>
            <w:pPr>
              <w:spacing w:line="360" w:lineRule="auto"/>
              <w:ind w:left="0" w:right="0" w:firstLine="493"/>
            </w:pPr>
            <w:r>
              <w:rPr>
                <w:rFonts w:ascii="Cambria" w:hAnsi="Cambria"/>
                <w:b w:val="false"/>
                <w:sz w:val="24"/>
              </w:rPr>
              <w:t>reducerea costurilor cu mentenanta).</w:t>
            </w:r>
          </w:p>
          <w:p>
            <w:pPr>
              <w:spacing w:line="360" w:lineRule="auto"/>
              <w:ind w:left="0" w:right="0" w:firstLine="493"/>
            </w:pPr>
            <w:r>
              <w:rPr>
                <w:rFonts w:ascii="Cambria" w:hAnsi="Cambria"/>
                <w:b w:val="false"/>
                <w:sz w:val="24"/>
              </w:rPr>
              <w:t>Se va analiza descrierea investitiei din SF/MJ si se va urmari daca are un caracter inovativ fata de contextul local sau</w:t>
            </w:r>
          </w:p>
          <w:p>
            <w:pPr>
              <w:spacing w:line="360" w:lineRule="auto"/>
              <w:ind w:left="0" w:right="0" w:firstLine="493"/>
            </w:pPr>
            <w:r>
              <w:rPr>
                <w:rFonts w:ascii="Cambria" w:hAnsi="Cambria"/>
                <w:b w:val="false"/>
                <w:sz w:val="24"/>
              </w:rPr>
              <w:t>regional. Se vor analiza documentele tehnice care sustin caracterul inovativ. </w:t>
            </w:r>
          </w:p>
          <w:p>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3</w:t>
            </w:r>
            <w:r>
              <w:rPr>
                <w:rFonts w:ascii="Cambria" w:hAnsi="Cambria"/>
                <w:b w:val="false"/>
                <w:color w:val="014935"/>
                <w:sz w:val="24"/>
              </w:rPr>
              <w:t>   </w:t>
            </w:r>
            <w:r>
              <w:rPr>
                <w:rFonts w:ascii="Cambria Bold" w:hAnsi="Cambria Bold"/>
                <w:b/>
                <w:color w:val="014935"/>
                <w:sz w:val="24"/>
              </w:rPr>
              <w:t>Gradul de acoperire a populației deservite: proiecte care deservesc localităţi cu o populație peste 4.000 de locuitori, proiecte care deservesc localităţi cu o populație sub 4.000 de locuitori.</w:t>
            </w:r>
          </w:p>
        </w:tc>
        <w:tc>
          <w:tcPr>
            <w:shd w:val="clear" w:color="auto" w:fill="CCE1DB"/>
            <w:vAlign w:val="center"/>
          </w:tcPr>
          <w:p>
            <w:pPr>
              <w:spacing w:line="360" w:lineRule="auto"/>
              <w:ind w:left="0" w:right="0" w:firstLine="493"/>
            </w:pPr>
            <w:r>
              <w:rPr>
                <w:rFonts w:ascii="Cambria Bold" w:hAnsi="Cambria Bold"/>
                <w:b/>
                <w:color w:val="014935"/>
                <w:sz w:val="24"/>
              </w:rPr>
              <w:t>Max.20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CS 3.1 </w:t>
            </w:r>
          </w:p>
        </w:tc>
        <w:tc>
          <w:tcPr>
            <w:shd w:val="clear" w:color="auto" w:fill="F8ECD2"/>
            <w:vAlign w:val="center"/>
          </w:tcPr>
          <w:p>
            <w:r>
              <w:rPr>
                <w:rFonts w:ascii="Cambria" w:hAnsi="Cambria"/>
                <w:b w:val="false"/>
                <w:color w:val="58400C"/>
                <w:sz w:val="24"/>
              </w:rPr>
              <w:t>Proiecte care deservesc localităţi cu o populație peste 4.000 de locuitori. </w:t>
            </w:r>
          </w:p>
        </w:tc>
        <w:tc>
          <w:tcPr>
            <w:vAlign w:val="center"/>
          </w:tcPr>
          <w:p>
            <w:pPr>
              <w:keepNext/>
              <w:jc w:val="center"/>
            </w:pPr>
            <w:r>
              <w:rPr>
                <w:rFonts w:ascii="Cambria" w:hAnsi="Cambria"/>
                <w:b w:val="false"/>
                <w:sz w:val="24"/>
              </w:rPr>
              <w:t>20</w:t>
            </w:r>
          </w:p>
        </w:tc>
        <w:tc>
          <w:tcPr>
            <w:vAlign w:val="center"/>
          </w:tcPr>
          <w:p/>
        </w:tc>
        <w:tc>
          <w:tcPr>
            <w:vAlign w:val="center"/>
          </w:tcPr>
          <w:p/>
        </w:tc>
      </w:tr>
      <w:tr>
        <w:trPr/>
        <w:tc>
          <w:tcPr>
            <w:gridSpan w:val="5"/>
            <w:shd w:val="clear" w:color="auto" w:fill="DDDDDD"/>
            <w:vAlign w:val="center"/>
          </w:tcPr>
          <w:p>
            <w:r>
              <w:rPr>
                <w:rFonts w:ascii="Cambria" w:hAnsi="Cambria"/>
                <w:b w:val="false"/>
                <w:sz w:val="24"/>
              </w:rPr>
              <w:t>Se va verifica daca solicitantul a facut precizari in cadrul Studiului de fezabilitate/Memoriu justificativ cu privire la numărul de locuitori deserviți prin proiect. Se vor verifica rezultatele recensământului populației și a locuințelor efectuat în 2022.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CS 3.2 </w:t>
            </w:r>
          </w:p>
        </w:tc>
        <w:tc>
          <w:tcPr>
            <w:shd w:val="clear" w:color="auto" w:fill="F8ECD2"/>
            <w:vAlign w:val="center"/>
          </w:tcPr>
          <w:p>
            <w:r>
              <w:rPr>
                <w:rFonts w:ascii="Cambria" w:hAnsi="Cambria"/>
                <w:b w:val="false"/>
                <w:color w:val="58400C"/>
                <w:sz w:val="24"/>
              </w:rPr>
              <w:t>Proiecte care deservesc localităţi cu o populație sub 4.000 de locuitori. </w:t>
            </w:r>
          </w:p>
        </w:tc>
        <w:tc>
          <w:tcPr>
            <w:vAlign w:val="center"/>
          </w:tcPr>
          <w:p>
            <w:pPr>
              <w:keepNext/>
              <w:jc w:val="center"/>
            </w:pPr>
            <w:r>
              <w:rPr>
                <w:rFonts w:ascii="Cambria" w:hAnsi="Cambria"/>
                <w:b w:val="false"/>
                <w:sz w:val="24"/>
              </w:rPr>
              <w:t>10</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Se va verifica daca solicitantul a facut precizari in cadrul Studiului de fezabilitate/Memoriu justificativ cu privire la numărul de locuitori deserviți prin proiect. Se vor verifica rezultatele recensământului populației și a locuințelor efectuat în 2022.</w:t>
            </w:r>
          </w:p>
          <w:p>
            <w:pPr>
              <w:spacing w:line="360" w:lineRule="auto"/>
              <w:ind w:left="0" w:right="0" w:firstLine="493"/>
            </w:pPr>
            <w:r>
              <w:rPr>
                <w:rFonts w:ascii="Cambria Bold" w:hAnsi="Cambria Bold"/>
                <w:b/>
                <w:sz w:val="24"/>
                <w:u w:val="single"/>
              </w:rPr>
              <w:t>Atenție!</w:t>
            </w:r>
          </w:p>
          <w:p>
            <w:pPr>
              <w:spacing w:line="360" w:lineRule="auto"/>
              <w:ind w:left="0" w:right="0" w:firstLine="493"/>
            </w:pPr>
            <w:r>
              <w:rPr>
                <w:rFonts w:ascii="Cambria Bold" w:hAnsi="Cambria Bold"/>
                <w:b/>
                <w:sz w:val="24"/>
              </w:rPr>
              <w:t>Punctajul maxim la criteriile de selecție este 100 puncte.</w:t>
            </w:r>
          </w:p>
          <w:p>
            <w:pPr>
              <w:spacing w:line="360" w:lineRule="auto"/>
              <w:ind w:left="0" w:right="0" w:firstLine="493"/>
            </w:pPr>
            <w:r>
              <w:rPr>
                <w:rFonts w:ascii="Cambria Bold" w:hAnsi="Cambria Bold"/>
                <w:b/>
                <w:sz w:val="24"/>
              </w:rPr>
              <w:t>Pragul minim de punctaj admis pentru fiecare proiect este de 30 puncte și reprezintă pragul sub care niciun proiect nu poate intra la finanțare.</w:t>
            </w:r>
          </w:p>
          <w:p>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rHeight w:val="479" w:hRule="atLeast"/>
        </w:trPr>
        <w:tc>
          <w:tcPr>
            <w:gridSpan w:val="2"/>
            <w:shd w:val="clear" w:color="auto" w:fill="B3C6D9"/>
            <w:vAlign w:val="center"/>
          </w:tcPr>
          <w:p>
            <w:r>
              <w:rPr>
                <w:rFonts w:ascii="Cambria" w:hAnsi="Cambria"/>
                <w:b w:val="false"/>
                <w:sz w:val="24"/>
              </w:rPr>
              <w:t>PRAG DE CALITATE</w:t>
            </w:r>
          </w:p>
        </w:tc>
        <w:tc>
          <w:tcPr>
            <w:gridSpan w:val="3"/>
            <w:shd w:val="clear" w:color="auto" w:fill="B3C6D9"/>
            <w:vAlign w:val="center"/>
          </w:tcPr>
          <w:p/>
        </w:tc>
      </w:tr>
      <w:tr>
        <w:trPr>
          <w:trHeight w:val="479" w:hRule="atLeast"/>
        </w:trPr>
        <w:tc>
          <w:tcPr>
            <w:gridSpan w:val="2"/>
            <w:shd w:val="clear" w:color="auto" w:fill="B3C6D9"/>
            <w:vAlign w:val="center"/>
          </w:tcPr>
          <w:p>
            <w:r>
              <w:rPr>
                <w:rFonts w:ascii="Cambria" w:hAnsi="Cambria"/>
                <w:b w:val="false"/>
                <w:sz w:val="24"/>
              </w:rPr>
              <w:t>TOTAL PUNCTAJ OBȚINUT</w:t>
            </w:r>
          </w:p>
        </w:tc>
        <w:tc>
          <w:tcPr>
            <w:gridSpan w:val="3"/>
            <w:shd w:val="clear" w:color="auto" w:fill="B3C6D9"/>
            <w:vAlign w:val="center"/>
          </w:tcP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pPr>
        <w:spacing w:line="264" w:lineRule="auto"/>
        <w:ind w:left="0" w:right="0" w:firstLine="0"/>
      </w:pPr>
      <w:r>
        <w:rPr>
          <w:rFonts w:ascii="Cambria" w:hAnsi="Cambria"/>
          <w:b w:val="false"/>
          <w:sz w:val="24"/>
        </w:rPr>
        <w:br/>
      </w:r>
      <w:r>
        <w:rPr>
          <w:rFonts w:ascii="Cambria Bold" w:hAnsi="Cambria Bold"/>
          <w:b/>
          <w:sz w:val="24"/>
        </w:rPr>
        <w:t>Justificarea criteriilor de departajare aplicate</w:t>
      </w:r>
      <w:r>
        <w:rPr>
          <w:rFonts w:ascii="Cambria" w:hAnsi="Cambria"/>
          <w:b w:val="false"/>
          <w:sz w:val="24"/>
        </w:rPr>
        <w:t>  (dacă este cazul)</w:t>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015840"/>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500" w:type="pct"/>
            <w:shd w:val="clear" w:color="auto" w:fill="015840"/>
            <w:vAlign w:val="center"/>
          </w:tcPr>
          <w:p>
            <w:r>
              <w:rPr>
                <w:rFonts w:ascii="Cambria Bold" w:hAnsi="Cambria Bold"/>
                <w:b/>
                <w:color w:val="FFFFFF"/>
                <w:sz w:val="24"/>
              </w:rPr>
              <w:t>Criterii de departajare</w:t>
            </w:r>
          </w:p>
        </w:tc>
        <w:tc>
          <w:tcPr>
            <w:tcW w:w="750" w:type="pct"/>
            <w:shd w:val="clear" w:color="auto" w:fill="015840"/>
            <w:vAlign w:val="center"/>
          </w:tcPr>
          <w:p>
            <w:pPr>
              <w:keepNext/>
              <w:jc w:val="center"/>
            </w:pPr>
            <w:r>
              <w:rPr>
                <w:rFonts w:ascii="Cambria Bold" w:hAnsi="Cambria Bold"/>
                <w:b/>
                <w:color w:val="FFFFFF"/>
                <w:sz w:val="24"/>
              </w:rPr>
              <w:t>Punctaj</w:t>
            </w:r>
          </w:p>
        </w:tc>
        <w:tc>
          <w:tcPr>
            <w:tcW w:w="750" w:type="pct"/>
            <w:shd w:val="clear" w:color="auto" w:fill="015840"/>
            <w:vAlign w:val="center"/>
          </w:tcPr>
          <w:p>
            <w:pPr>
              <w:keepNext/>
              <w:jc w:val="center"/>
            </w:pPr>
            <w:r>
              <w:rPr>
                <w:rFonts w:ascii="Cambria Bold" w:hAnsi="Cambria Bold"/>
                <w:b/>
                <w:color w:val="FFFFFF"/>
                <w:sz w:val="24"/>
              </w:rPr>
              <w:t>Punctaj</w:t>
            </w:r>
            <w:r>
              <w:rPr>
                <w:rFonts w:ascii="Cambria Bold" w:hAnsi="Cambria Bold"/>
                <w:b/>
                <w:color w:val="FFFFFF"/>
                <w:sz w:val="24"/>
              </w:rPr>
              <w:br/>
            </w:r>
            <w:r>
              <w:rPr>
                <w:rFonts w:ascii="Cambria Bold" w:hAnsi="Cambria Bold"/>
                <w:b/>
                <w:color w:val="FFFFFF"/>
                <w:sz w:val="24"/>
              </w:rPr>
              <w:t>obținut</w:t>
            </w:r>
          </w:p>
        </w:tc>
        <w:tc>
          <w:tcPr>
            <w:shd w:val="clear" w:color="auto" w:fill="015840"/>
            <w:vAlign w:val="center"/>
          </w:tcPr>
          <w:p>
            <w:pPr>
              <w:keepNext/>
              <w:jc w:val="center"/>
            </w:pPr>
            <w:r>
              <w:rPr>
                <w:rFonts w:ascii="Cambria Bold" w:hAnsi="Cambria Bold"/>
                <w:b/>
                <w:color w:val="FFFFFF"/>
                <w:sz w:val="24"/>
              </w:rPr>
              <w:t>Justificare</w:t>
            </w:r>
          </w:p>
        </w:tc>
      </w:tr>
      <w:tr>
        <w:trPr>
          <w:trHeight w:val="45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Pentru fiecare criteriu de departajare este necesară justificarea acordării punctajului</w:t>
            </w:r>
          </w:p>
        </w:tc>
      </w:tr>
      <w:tr>
        <w:trPr/>
        <w:tc>
          <w:tcPr>
            <w:shd w:val="clear" w:color="auto" w:fill="F8ECD2"/>
            <w:vAlign w:val="center"/>
          </w:tcPr>
          <w:p>
            <w:r>
              <w:rPr>
                <w:rFonts w:ascii="Cambria" w:hAnsi="Cambria"/>
                <w:b w:val="false"/>
                <w:color w:val="58400C"/>
                <w:sz w:val="24"/>
              </w:rPr>
              <w:t>1.</w:t>
            </w:r>
          </w:p>
        </w:tc>
        <w:tc>
          <w:tcPr>
            <w:shd w:val="clear" w:color="auto" w:fill="F8ECD2"/>
            <w:vAlign w:val="center"/>
          </w:tcPr>
          <w:p>
            <w:r>
              <w:rPr>
                <w:rFonts w:ascii="Cambria" w:hAnsi="Cambria"/>
                <w:b w:val="false"/>
                <w:color w:val="58400C"/>
                <w:sz w:val="24"/>
              </w:rPr>
              <w:t>Gradul de autonomie energeticaestimat prin proiect </w:t>
            </w:r>
          </w:p>
        </w:tc>
        <w:tc>
          <w:tcPr>
            <w:vAlign w:val="center"/>
          </w:tcPr>
          <w:p/>
        </w:tc>
        <w:tc>
          <w:tcPr>
            <w:vAlign w:val="center"/>
          </w:tcPr>
          <w:p/>
        </w:tc>
        <w:tc>
          <w:tcPr>
            <w:vAlign w:val="center"/>
          </w:tcPr>
          <w:p/>
        </w:tc>
      </w:tr>
      <w:tr>
        <w:trPr/>
        <w:tc>
          <w:tcPr>
            <w:gridSpan w:val="5"/>
            <w:shd w:val="clear" w:color="auto" w:fill="DDDDDD"/>
            <w:vAlign w:val="center"/>
          </w:tcPr>
          <w:p>
            <w:r>
              <w:rPr>
                <w:rFonts w:ascii="Cambria" w:hAnsi="Cambria"/>
                <w:b w:val="false"/>
                <w:sz w:val="24"/>
              </w:rPr>
              <w:t>Se vor prioritiza proiectele care duc la un grad mai mare de independenta energetica pentru beneficiar. Se prioritizeaza in functie de procentul mai mare din energia necesara acoperita din surse regenerabile.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2.</w:t>
            </w:r>
          </w:p>
        </w:tc>
        <w:tc>
          <w:tcPr>
            <w:shd w:val="clear" w:color="auto" w:fill="F8ECD2"/>
            <w:vAlign w:val="center"/>
          </w:tcPr>
          <w:p>
            <w:r>
              <w:rPr>
                <w:rFonts w:ascii="Cambria" w:hAnsi="Cambria"/>
                <w:b w:val="false"/>
                <w:color w:val="58400C"/>
                <w:sz w:val="24"/>
              </w:rPr>
              <w:t>Numar de beneficiariindirecti/impactul asupracomuntatii </w:t>
            </w:r>
          </w:p>
        </w:tc>
        <w:tc>
          <w:tcPr>
            <w:vAlign w:val="center"/>
          </w:tcPr>
          <w:p/>
        </w:tc>
        <w:tc>
          <w:tcPr>
            <w:vAlign w:val="center"/>
          </w:tcPr>
          <w:p/>
        </w:tc>
        <w:tc>
          <w:tcPr>
            <w:vAlign w:val="center"/>
          </w:tcPr>
          <w:p/>
        </w:tc>
      </w:tr>
      <w:tr>
        <w:trPr/>
        <w:tc>
          <w:tcPr>
            <w:gridSpan w:val="5"/>
            <w:shd w:val="clear" w:color="auto" w:fill="DDDDDD"/>
            <w:vAlign w:val="center"/>
          </w:tcPr>
          <w:p>
            <w:pPr>
              <w:pStyle w:val="ListParagraph"/>
              <w:numPr>
                <w:ilvl w:val="0"/>
                <w:numId w:val="2"/>
              </w:numPr>
            </w:pPr>
            <w:r>
              <w:rPr>
                <w:rFonts w:ascii="Cambria" w:hAnsi="Cambria"/>
                <w:b w:val="false"/>
                <w:sz w:val="24"/>
              </w:rPr>
              <w:t>Se prioritizeaza proiectele cu impact mai mare asupra unui numar mai mare de persoane/institutii, scoli, entre comunitare, cladiri publice.</w:t>
            </w:r>
          </w:p>
          <w:p>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3.</w:t>
            </w:r>
          </w:p>
        </w:tc>
        <w:tc>
          <w:tcPr>
            <w:shd w:val="clear" w:color="auto" w:fill="F8ECD2"/>
            <w:vAlign w:val="center"/>
          </w:tcPr>
          <w:p>
            <w:r>
              <w:rPr>
                <w:rFonts w:ascii="Cambria" w:hAnsi="Cambria"/>
                <w:b w:val="false"/>
                <w:color w:val="58400C"/>
                <w:sz w:val="24"/>
              </w:rPr>
              <w:t>Timp estimat de implementare </w:t>
            </w:r>
          </w:p>
        </w:tc>
        <w:tc>
          <w:tcPr>
            <w:vAlign w:val="center"/>
          </w:tcPr>
          <w:p/>
        </w:tc>
        <w:tc>
          <w:tcPr>
            <w:vAlign w:val="center"/>
          </w:tcPr>
          <w:p/>
        </w:tc>
        <w:tc>
          <w:tcPr>
            <w:vAlign w:val="center"/>
          </w:tcPr>
          <w:p/>
        </w:tc>
      </w:tr>
      <w:tr>
        <w:trPr/>
        <w:tc>
          <w:tcPr>
            <w:gridSpan w:val="5"/>
            <w:shd w:val="clear" w:color="auto" w:fill="DDDDDD"/>
            <w:vAlign w:val="center"/>
          </w:tcPr>
          <w:p>
            <w:r>
              <w:rPr>
                <w:rFonts w:ascii="Cambria" w:hAnsi="Cambria"/>
                <w:b w:val="false"/>
                <w:sz w:val="24"/>
              </w:rPr>
              <w:t>Se vor prioritiza proiectele cu perioada de implementare mai scurta(conform graficului de implementare). </w:t>
            </w:r>
          </w:p>
        </w:tc>
      </w:tr>
      <w:tr>
        <w:trPr>
          <w:trHeight w:val="360" w:hRule="atLeast"/>
        </w:trPr>
        <w:tc>
          <w:tcPr>
            <w:gridSpan w:val="5"/>
            <w:vAlign w:val="center"/>
          </w:tcPr>
          <w:p>
            <w:r>
              <w:rPr>
                <w:rFonts w:ascii="Cambria" w:hAnsi="Cambria"/>
                <w:b w:val="false"/>
                <w:sz w:val="24"/>
              </w:rPr>
              <w:t> </w:t>
            </w: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tbl>
      <w:tblPr>
        <w:tblStyle w:val="TableGrid"/>
        <w:tblW w:w="5000" w:type="pct"/>
        <w:tblBorders>
          <w:top w:val="none"/>
          <w:left w:val="none"/>
          <w:bottom w:val="none"/>
          <w:right w:val="none"/>
          <w:insideH w:val="none"/>
          <w:insideV w:val="none"/>
        </w:tblBorders>
        <w:tblCellMar>
          <w:top w:w="45" w:type="dxa"/>
          <w:left w:w="45" w:type="dxa"/>
          <w:bottom w:w="45" w:type="dxa"/>
          <w:right w:w="45" w:type="dxa"/>
        </w:tblCellMar>
      </w:tblPr>
      <w:tblGrid>
        <w:gridCol/>
        <w:gridCol/>
      </w:tblGrid>
      <w:tr>
        <w:trPr>
          <w:trHeight w:val="1080" w:hRule="atLeast"/>
        </w:trPr>
        <w:tc>
          <w:tcPr>
            <w:gridSpan w:val="2"/>
            <w:vAlign w:val="bottom"/>
          </w:tcPr>
          <w:p>
            <w:pPr>
              <w:keepNext/>
              <w:jc w:val="left"/>
            </w:pPr>
            <w:r>
              <w:rPr>
                <w:rFonts w:ascii="Cambria Bold" w:hAnsi="Cambria Bold"/>
                <w:b/>
                <w:sz w:val="24"/>
              </w:rPr>
              <w:t>Verificat,</w:t>
            </w:r>
          </w:p>
        </w:tc>
      </w:tr>
      <w:tr>
        <w:trPr>
          <w:trHeight w:val="479" w:hRule="atLeast"/>
        </w:trPr>
        <w:tc>
          <w:tcPr>
            <w:vAlign w:val="center"/>
          </w:tcPr>
          <w:p>
            <w:pPr>
              <w:keepNext/>
              <w:jc w:val="left"/>
            </w:pPr>
            <w:r>
              <w:rPr>
                <w:rFonts w:ascii="Cambria Bold" w:hAnsi="Cambria Bold"/>
                <w:b/>
                <w:sz w:val="24"/>
              </w:rPr>
              <w:t>Evaluator 1 GAL _ _ _ _ _ _ _ _ _ _ _ _ _ _ _ _ _</w:t>
            </w:r>
          </w:p>
        </w:tc>
        <w:tc>
          <w:tcPr>
            <w:vAlign w:val="center"/>
          </w:tcPr>
          <w:p>
            <w:pPr>
              <w:keepNext/>
              <w:jc w:val="right"/>
            </w:pPr>
            <w:r>
              <w:rPr>
                <w:rFonts w:ascii="Cambria Bold" w:hAnsi="Cambria Bold"/>
                <w:b/>
                <w:sz w:val="24"/>
              </w:rPr>
              <w:t>Semnătura și data _ _ _ _ _ _ _ _ _ _ _ _ _ _ _ _ _</w:t>
            </w:r>
          </w:p>
        </w:tc>
      </w:tr>
      <w:tr>
        <w:trPr>
          <w:trHeight w:val="479" w:hRule="atLeast"/>
        </w:trPr>
        <w:tc>
          <w:tcPr>
            <w:vAlign w:val="center"/>
          </w:tcPr>
          <w:p>
            <w:pPr>
              <w:keepNext/>
              <w:jc w:val="left"/>
            </w:pPr>
            <w:r>
              <w:rPr>
                <w:rFonts w:ascii="Cambria Bold" w:hAnsi="Cambria Bold"/>
                <w:b/>
                <w:sz w:val="24"/>
              </w:rPr>
              <w:t>Evaluator 2 GAL _ _ _ _ _ _ _ _ _ _ _ _ _ _ _ _ _</w:t>
            </w:r>
          </w:p>
        </w:tc>
        <w:tc>
          <w:tcPr>
            <w:vAlign w:val="center"/>
          </w:tcPr>
          <w:p>
            <w:pPr>
              <w:keepNext/>
              <w:jc w:val="right"/>
            </w:pPr>
            <w:r>
              <w:rPr>
                <w:rFonts w:ascii="Cambria Bold" w:hAnsi="Cambria Bold"/>
                <w:b/>
                <w:sz w:val="24"/>
              </w:rPr>
              <w:t>Semnătura și data _ _ _ _ _ _ _ _ _ _ _ _ _ _ _ _ _</w:t>
            </w:r>
          </w:p>
        </w:tc>
      </w:tr>
    </w:tbl>
  </w:body>
</w:document>
</file>

<file path=word/numbering.xml><?xml version="1.0" encoding="utf-8"?>
<w:numbering xmlns:w="http://schemas.openxmlformats.org/wordprocessingml/2006/main">
  <w:abstractNum w:abstractNumId="1">
    <w:multiLevelType w:val="hybridMultilevel"/>
    <w:name w:val="disc"/>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num w:numId="2">
    <w:abstractNumId w:val="1"/>
    <w:lvlOverride w:ilvl="0">
      <w:startOverride w:val="1"/>
    </w:lvlOverride>
  </w:num>
</w:numbering>
</file>

<file path=word/styles.xml><?xml version="1.0" encoding="utf-8"?>
<w:styles xmlns:w="http://schemas.openxmlformats.org/wordprocessingml/2006/main">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xmlns:w="http://schemas.openxmlformats.org/wordprocessingml/2006/main" w:type="paragraph" w:styleId="ListParagraph">
    <w:name w:val="List Paragraph"/>
    <w:next w:val="List Paragraph"/>
    <w:pPr>
      <w:keepNext w:val="0"/>
      <w:keepLines w:val="0"/>
      <w:spacing w:before="0" w:after="0" w:line="240" w:lineRule="auto"/>
      <w:ind w:start="720" w:end="0" w:firstLine="0"/>
      <w:contextualSpacing/>
    </w:pPr>
  </w:style>
</w:styles>
</file>

<file path=word/_rels/document.xml.rels>&#65279;<?xml version="1.0" encoding="utf-8"?><Relationships xmlns="http://schemas.openxmlformats.org/package/2006/relationships"><Relationship Type="http://schemas.openxmlformats.org/officeDocument/2006/relationships/styles" Target="/word/styles.xml" Id="R37f40341d6174d81" /><Relationship Type="http://schemas.openxmlformats.org/officeDocument/2006/relationships/numbering" Target="/word/numbering.xml" Id="R196635a78e90478b" /></Relationships>
</file>